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197" w:rsidRDefault="00AF4D6B" w:rsidP="00D25197">
      <w:pPr>
        <w:jc w:val="center"/>
      </w:pPr>
      <w:r>
        <w:t>‘</w:t>
      </w:r>
    </w:p>
    <w:p w:rsidR="00D25197" w:rsidRDefault="00D25197" w:rsidP="00D25197">
      <w:pPr>
        <w:jc w:val="center"/>
      </w:pPr>
    </w:p>
    <w:p w:rsidR="00D25197" w:rsidRDefault="00D25197" w:rsidP="00D25197">
      <w:pPr>
        <w:jc w:val="center"/>
      </w:pPr>
    </w:p>
    <w:p w:rsidR="00D25197" w:rsidRDefault="00D25197" w:rsidP="00D25197">
      <w:pPr>
        <w:jc w:val="center"/>
      </w:pPr>
    </w:p>
    <w:p w:rsidR="00D25197" w:rsidRDefault="00D25197" w:rsidP="00D25197">
      <w:pPr>
        <w:jc w:val="center"/>
      </w:pPr>
    </w:p>
    <w:p w:rsidR="00D25197" w:rsidRDefault="00D25197" w:rsidP="00D25197">
      <w:pPr>
        <w:jc w:val="center"/>
      </w:pPr>
    </w:p>
    <w:p w:rsidR="00D25197" w:rsidRDefault="00AF4D6B" w:rsidP="00D25197">
      <w:pPr>
        <w:jc w:val="center"/>
      </w:pPr>
      <w:r w:rsidRPr="002F7D65">
        <w:t>Financial Analysis Report</w:t>
      </w:r>
    </w:p>
    <w:p w:rsidR="00D25197" w:rsidRDefault="00AF4D6B" w:rsidP="00D25197">
      <w:pPr>
        <w:jc w:val="center"/>
      </w:pPr>
      <w:r>
        <w:t>Student’s Name</w:t>
      </w:r>
    </w:p>
    <w:p w:rsidR="00D25197" w:rsidRDefault="006E6D04" w:rsidP="00D25197">
      <w:pPr>
        <w:jc w:val="center"/>
      </w:pPr>
      <w:r>
        <w:t>Institutional Affiliation</w:t>
      </w:r>
    </w:p>
    <w:p w:rsidR="00D25197" w:rsidRDefault="00AF4D6B" w:rsidP="00D25197">
      <w:pPr>
        <w:ind w:firstLine="720"/>
        <w:jc w:val="center"/>
      </w:pPr>
      <w:r>
        <w:br w:type="page"/>
      </w:r>
    </w:p>
    <w:p w:rsidR="00D25197" w:rsidRDefault="00AF4D6B" w:rsidP="00D25197">
      <w:pPr>
        <w:jc w:val="center"/>
      </w:pPr>
      <w:r>
        <w:lastRenderedPageBreak/>
        <w:t>Financial Analysis Report</w:t>
      </w:r>
    </w:p>
    <w:p w:rsidR="00D25197" w:rsidRPr="00051BAA" w:rsidRDefault="00AF4D6B" w:rsidP="00D25197">
      <w:pPr>
        <w:jc w:val="center"/>
        <w:rPr>
          <w:b/>
        </w:rPr>
      </w:pPr>
      <w:r w:rsidRPr="00051BAA">
        <w:rPr>
          <w:b/>
        </w:rPr>
        <w:t>Executive Summary</w:t>
      </w:r>
    </w:p>
    <w:p w:rsidR="00D25197" w:rsidRDefault="00AF4D6B" w:rsidP="00D25197">
      <w:pPr>
        <w:ind w:firstLine="720"/>
        <w:jc w:val="both"/>
      </w:pPr>
      <w:r>
        <w:t>Edgewell Personal Care Company (EPC) is a global manufacturer of personal care products. The company operates in a highly competitive industry, both globally and in the United States. Some of the EPC Company major competitors include Procter Gamble, Colgate Palmolive, Church Dwight, and Fuling Global. Thus, these companies have to compete for customer acceptance as well as limited retail shelf space. The competition revolves around the brand perception, customer service, product performance, and price. The EPC Company main care products include wet shave blades, gels, lotions, electric shavers</w:t>
      </w:r>
      <w:r w:rsidR="00051BAA">
        <w:t>,</w:t>
      </w:r>
      <w:r>
        <w:t xml:space="preserve"> and razors.</w:t>
      </w:r>
    </w:p>
    <w:p w:rsidR="00D25197" w:rsidRDefault="00AF4D6B" w:rsidP="00D25197">
      <w:pPr>
        <w:ind w:firstLine="720"/>
        <w:jc w:val="both"/>
      </w:pPr>
      <w:r>
        <w:t>The EPC and P&amp;G Company forecast and report their financial results on a "Non-GAAP" and GAAP standards. Thus, their financial reporting involves reconciling “Non-GAAP” results with GAAP measures. The financial result reconciliation involves measures which can be compared directly. Also, the financial comparison of EPC and P&amp;G Companies will contain forward-looking and historical statements. Forward-looking statements will not be based on the historical facts but rather on estimating future results or events for each of the two companies. EPC and P&amp;G Companies are subject to international operation risks such as currency fluctuations, global economic conditions and other global market conditions that would affect their operations adversely.</w:t>
      </w:r>
    </w:p>
    <w:p w:rsidR="00D25197" w:rsidRDefault="00AF4D6B" w:rsidP="00D25197">
      <w:pPr>
        <w:ind w:firstLine="720"/>
        <w:jc w:val="both"/>
      </w:pPr>
      <w:r>
        <w:t>In this case, financial analysis and performance of EPC will be done relative to The Procter &amp; Gamble Company as the major competitor. The</w:t>
      </w:r>
      <w:r w:rsidR="00051BAA">
        <w:t xml:space="preserve"> latter company owns a Gillette</w:t>
      </w:r>
      <w:r>
        <w:t xml:space="preserve"> brand, and it is emerging as the market leader in the wet shave segment. Schick-Wilkinson Sword is the main wet shave brand for the EPC. The global </w:t>
      </w:r>
      <w:r w:rsidR="00051BAA">
        <w:t>market coverage of the Gillette</w:t>
      </w:r>
      <w:r>
        <w:t xml:space="preserve"> brand and Schick-Wilkinson </w:t>
      </w:r>
      <w:r>
        <w:lastRenderedPageBreak/>
        <w:t>is estimated to be 80%. Other product’s segments between the two companies include the feminine care, sun and skin care among other personal care products. This market is dynamic, and the competitive capacity depends on the ability to introduce new products, promotional programs, and advertisement. In the effort to expand the market in this product segment, The Procter &amp; Gamble Company and other global personal care companies have impacted trends in the care market. It is due to market growth and trends that the two companies have different financial performance, although operating in the same industry. However, the competition impact between EPC and The Procter &amp; Gamble Company can be demonstrated more clearly through a financial ratio analysis.</w:t>
      </w:r>
    </w:p>
    <w:p w:rsidR="00D25197" w:rsidRDefault="00AF4D6B" w:rsidP="00D25197">
      <w:pPr>
        <w:ind w:firstLine="720"/>
        <w:jc w:val="both"/>
      </w:pPr>
      <w:r>
        <w:t xml:space="preserve">Financial ratio analysis involves weighing the performance of the company by financial statement values. Financial ratios are categorized depending on what they measure, such as growth, liquidity, profitability, and capital structure. All these financial ratios combined will provide a comprehensive financial report between EPC and The Procter &amp; Gamble Company. </w:t>
      </w:r>
    </w:p>
    <w:p w:rsidR="00D25197" w:rsidRPr="002F6E3A" w:rsidRDefault="00AF4D6B" w:rsidP="00D25197">
      <w:pPr>
        <w:jc w:val="center"/>
        <w:rPr>
          <w:b/>
        </w:rPr>
      </w:pPr>
      <w:r w:rsidRPr="002F6E3A">
        <w:rPr>
          <w:b/>
        </w:rPr>
        <w:t>Income Statement Comparison</w:t>
      </w:r>
    </w:p>
    <w:p w:rsidR="002F6E3A" w:rsidRDefault="00AF4D6B" w:rsidP="00D25197">
      <w:pPr>
        <w:ind w:firstLine="720"/>
        <w:jc w:val="both"/>
      </w:pPr>
      <w:r>
        <w:t xml:space="preserve">The income statement </w:t>
      </w:r>
      <w:r w:rsidRPr="00DF77E1">
        <w:t>summarizes the results of the operations for</w:t>
      </w:r>
      <w:r>
        <w:t xml:space="preserve"> the two companies for the years </w:t>
      </w:r>
      <w:r w:rsidRPr="00DF77E1">
        <w:t>2015 and 2016. Income statement</w:t>
      </w:r>
      <w:r w:rsidRPr="00DF77E1">
        <w:rPr>
          <w:rStyle w:val="a8"/>
          <w:sz w:val="24"/>
          <w:szCs w:val="24"/>
        </w:rPr>
        <w:t xml:space="preserve"> comprises o</w:t>
      </w:r>
      <w:r>
        <w:rPr>
          <w:rStyle w:val="a8"/>
          <w:sz w:val="24"/>
          <w:szCs w:val="24"/>
        </w:rPr>
        <w:t>f n</w:t>
      </w:r>
      <w:r w:rsidRPr="00DF77E1">
        <w:t>et sales, gross</w:t>
      </w:r>
      <w:r>
        <w:t xml:space="preserve"> margin, expenses and net income. The primary factors driving the difference in the operations include the overall market growth which affects the net sales. Similarly, change in the sale volume is affected by the competitor’s activity and customer base expansion which drives the prices as well </w:t>
      </w:r>
      <w:r w:rsidR="002F6E3A">
        <w:t xml:space="preserve">as </w:t>
      </w:r>
      <w:r>
        <w:t>unit volume.</w:t>
      </w:r>
    </w:p>
    <w:p w:rsidR="002F6E3A" w:rsidRDefault="002F6E3A" w:rsidP="00D25197">
      <w:pPr>
        <w:ind w:firstLine="720"/>
        <w:jc w:val="both"/>
      </w:pPr>
    </w:p>
    <w:p w:rsidR="002F6E3A" w:rsidRDefault="002F6E3A" w:rsidP="00D25197">
      <w:pPr>
        <w:ind w:firstLine="720"/>
        <w:jc w:val="both"/>
      </w:pPr>
    </w:p>
    <w:p w:rsidR="00D25197" w:rsidRPr="000A2DCA" w:rsidRDefault="00AF4D6B" w:rsidP="00D25197">
      <w:pPr>
        <w:ind w:firstLine="720"/>
        <w:jc w:val="both"/>
      </w:pPr>
      <w:r>
        <w:t xml:space="preserve"> </w:t>
      </w:r>
    </w:p>
    <w:tbl>
      <w:tblPr>
        <w:tblW w:w="9576" w:type="dxa"/>
        <w:jc w:val="center"/>
        <w:tblLook w:val="04A0" w:firstRow="1" w:lastRow="0" w:firstColumn="1" w:lastColumn="0" w:noHBand="0" w:noVBand="1"/>
      </w:tblPr>
      <w:tblGrid>
        <w:gridCol w:w="5554"/>
        <w:gridCol w:w="1054"/>
        <w:gridCol w:w="1066"/>
        <w:gridCol w:w="949"/>
        <w:gridCol w:w="953"/>
      </w:tblGrid>
      <w:tr w:rsidR="003C0A3F" w:rsidTr="00D25197">
        <w:trPr>
          <w:trHeight w:val="300"/>
          <w:jc w:val="center"/>
        </w:trPr>
        <w:tc>
          <w:tcPr>
            <w:tcW w:w="9576" w:type="dxa"/>
            <w:gridSpan w:val="5"/>
            <w:tcBorders>
              <w:top w:val="single" w:sz="4" w:space="0" w:color="auto"/>
              <w:bottom w:val="single" w:sz="4" w:space="0" w:color="auto"/>
            </w:tcBorders>
          </w:tcPr>
          <w:p w:rsidR="00D25197" w:rsidRDefault="00AF4D6B" w:rsidP="00D25197">
            <w:pPr>
              <w:spacing w:after="0"/>
              <w:jc w:val="center"/>
              <w:rPr>
                <w:rFonts w:eastAsia="Times New Roman"/>
                <w:b/>
                <w:bCs/>
                <w:color w:val="000000"/>
                <w:sz w:val="22"/>
                <w:szCs w:val="22"/>
              </w:rPr>
            </w:pPr>
            <w:r w:rsidRPr="000A2DCA">
              <w:rPr>
                <w:rFonts w:eastAsia="Times New Roman"/>
                <w:b/>
                <w:bCs/>
                <w:color w:val="000000"/>
                <w:sz w:val="22"/>
                <w:szCs w:val="22"/>
              </w:rPr>
              <w:lastRenderedPageBreak/>
              <w:t>Edgewell Personal Care Company</w:t>
            </w:r>
          </w:p>
        </w:tc>
      </w:tr>
      <w:tr w:rsidR="003C0A3F" w:rsidTr="00D25197">
        <w:trPr>
          <w:trHeight w:val="300"/>
          <w:jc w:val="center"/>
        </w:trPr>
        <w:tc>
          <w:tcPr>
            <w:tcW w:w="9576" w:type="dxa"/>
            <w:gridSpan w:val="5"/>
            <w:tcBorders>
              <w:top w:val="single" w:sz="4" w:space="0" w:color="auto"/>
              <w:bottom w:val="single" w:sz="4" w:space="0" w:color="auto"/>
            </w:tcBorders>
          </w:tcPr>
          <w:p w:rsidR="00D25197" w:rsidRPr="000A2DCA" w:rsidRDefault="00AF4D6B" w:rsidP="00D25197">
            <w:pPr>
              <w:spacing w:after="0"/>
              <w:jc w:val="center"/>
              <w:rPr>
                <w:b/>
              </w:rPr>
            </w:pPr>
            <w:r>
              <w:rPr>
                <w:b/>
              </w:rPr>
              <w:t>Income Statement for the Years 2015 and 2016 (In Millions)</w:t>
            </w:r>
          </w:p>
        </w:tc>
      </w:tr>
      <w:tr w:rsidR="003C0A3F" w:rsidTr="00D25197">
        <w:trPr>
          <w:trHeight w:val="557"/>
          <w:jc w:val="center"/>
        </w:trPr>
        <w:tc>
          <w:tcPr>
            <w:tcW w:w="5554" w:type="dxa"/>
            <w:tcBorders>
              <w:top w:val="single" w:sz="4" w:space="0" w:color="auto"/>
              <w:bottom w:val="single" w:sz="4" w:space="0" w:color="auto"/>
            </w:tcBorders>
            <w:shd w:val="clear" w:color="auto" w:fill="auto"/>
            <w:noWrap/>
            <w:vAlign w:val="bottom"/>
            <w:hideMark/>
          </w:tcPr>
          <w:p w:rsidR="00D25197" w:rsidRPr="00344D1C" w:rsidRDefault="00D25197" w:rsidP="00D25197">
            <w:pPr>
              <w:spacing w:after="0"/>
              <w:rPr>
                <w:rFonts w:eastAsia="Times New Roman"/>
                <w:b/>
                <w:bCs/>
                <w:color w:val="000000"/>
                <w:sz w:val="22"/>
                <w:szCs w:val="22"/>
              </w:rPr>
            </w:pPr>
          </w:p>
        </w:tc>
        <w:tc>
          <w:tcPr>
            <w:tcW w:w="1054" w:type="dxa"/>
            <w:tcBorders>
              <w:top w:val="single" w:sz="4" w:space="0" w:color="auto"/>
              <w:bottom w:val="single" w:sz="4" w:space="0" w:color="auto"/>
            </w:tcBorders>
          </w:tcPr>
          <w:p w:rsidR="00D25197" w:rsidRDefault="00D25197" w:rsidP="00D25197">
            <w:pPr>
              <w:spacing w:after="0"/>
              <w:rPr>
                <w:rFonts w:eastAsia="Times New Roman"/>
                <w:b/>
                <w:bCs/>
                <w:color w:val="000000"/>
                <w:sz w:val="22"/>
                <w:szCs w:val="22"/>
              </w:rPr>
            </w:pPr>
          </w:p>
        </w:tc>
        <w:tc>
          <w:tcPr>
            <w:tcW w:w="1066" w:type="dxa"/>
            <w:tcBorders>
              <w:top w:val="single" w:sz="4" w:space="0" w:color="auto"/>
              <w:bottom w:val="single" w:sz="4" w:space="0" w:color="auto"/>
            </w:tcBorders>
            <w:shd w:val="clear" w:color="auto" w:fill="auto"/>
            <w:noWrap/>
            <w:vAlign w:val="bottom"/>
            <w:hideMark/>
          </w:tcPr>
          <w:p w:rsidR="00D25197" w:rsidRPr="00344D1C" w:rsidRDefault="00AF4D6B" w:rsidP="00D25197">
            <w:pPr>
              <w:spacing w:after="0"/>
              <w:rPr>
                <w:rFonts w:eastAsia="Times New Roman"/>
                <w:b/>
                <w:bCs/>
                <w:color w:val="000000"/>
                <w:sz w:val="22"/>
                <w:szCs w:val="22"/>
              </w:rPr>
            </w:pPr>
            <w:r>
              <w:rPr>
                <w:rFonts w:eastAsia="Times New Roman"/>
                <w:b/>
                <w:bCs/>
                <w:color w:val="000000"/>
                <w:sz w:val="22"/>
                <w:szCs w:val="22"/>
              </w:rPr>
              <w:t>2015</w:t>
            </w:r>
          </w:p>
        </w:tc>
        <w:tc>
          <w:tcPr>
            <w:tcW w:w="949" w:type="dxa"/>
            <w:tcBorders>
              <w:top w:val="single" w:sz="4" w:space="0" w:color="auto"/>
              <w:bottom w:val="single" w:sz="4" w:space="0" w:color="auto"/>
            </w:tcBorders>
          </w:tcPr>
          <w:p w:rsidR="00D25197" w:rsidRDefault="00D25197" w:rsidP="00D25197">
            <w:pPr>
              <w:spacing w:after="0"/>
              <w:rPr>
                <w:rFonts w:eastAsia="Times New Roman"/>
                <w:b/>
                <w:bCs/>
                <w:color w:val="000000"/>
                <w:sz w:val="22"/>
                <w:szCs w:val="22"/>
              </w:rPr>
            </w:pPr>
          </w:p>
        </w:tc>
        <w:tc>
          <w:tcPr>
            <w:tcW w:w="953" w:type="dxa"/>
            <w:tcBorders>
              <w:top w:val="single" w:sz="4" w:space="0" w:color="auto"/>
              <w:bottom w:val="single" w:sz="4" w:space="0" w:color="auto"/>
            </w:tcBorders>
            <w:shd w:val="clear" w:color="auto" w:fill="auto"/>
            <w:noWrap/>
            <w:vAlign w:val="bottom"/>
            <w:hideMark/>
          </w:tcPr>
          <w:p w:rsidR="00D25197" w:rsidRPr="00344D1C" w:rsidRDefault="00AF4D6B" w:rsidP="00D25197">
            <w:pPr>
              <w:spacing w:after="0"/>
              <w:rPr>
                <w:rFonts w:eastAsia="Times New Roman"/>
                <w:b/>
                <w:bCs/>
                <w:color w:val="000000"/>
                <w:sz w:val="22"/>
                <w:szCs w:val="22"/>
              </w:rPr>
            </w:pPr>
            <w:r>
              <w:rPr>
                <w:rFonts w:eastAsia="Times New Roman"/>
                <w:b/>
                <w:bCs/>
                <w:color w:val="000000"/>
                <w:sz w:val="22"/>
                <w:szCs w:val="22"/>
              </w:rPr>
              <w:t>2016</w:t>
            </w:r>
          </w:p>
        </w:tc>
      </w:tr>
      <w:tr w:rsidR="003C0A3F" w:rsidTr="00D25197">
        <w:trPr>
          <w:trHeight w:val="300"/>
          <w:jc w:val="center"/>
        </w:trPr>
        <w:tc>
          <w:tcPr>
            <w:tcW w:w="5554" w:type="dxa"/>
            <w:tcBorders>
              <w:top w:val="single" w:sz="4" w:space="0" w:color="auto"/>
            </w:tcBorders>
            <w:shd w:val="clear" w:color="auto" w:fill="auto"/>
            <w:noWrap/>
            <w:vAlign w:val="bottom"/>
            <w:hideMark/>
          </w:tcPr>
          <w:p w:rsidR="00D25197" w:rsidRPr="0054489B" w:rsidRDefault="00AF4D6B" w:rsidP="00D25197">
            <w:pPr>
              <w:spacing w:after="0"/>
              <w:rPr>
                <w:rFonts w:eastAsia="Times New Roman"/>
                <w:b/>
                <w:color w:val="000000"/>
                <w:sz w:val="22"/>
                <w:szCs w:val="22"/>
              </w:rPr>
            </w:pPr>
            <w:r w:rsidRPr="0054489B">
              <w:rPr>
                <w:rFonts w:eastAsia="Times New Roman"/>
                <w:b/>
                <w:color w:val="000000"/>
                <w:sz w:val="22"/>
                <w:szCs w:val="22"/>
              </w:rPr>
              <w:t> Sales/Revenue</w:t>
            </w:r>
          </w:p>
        </w:tc>
        <w:tc>
          <w:tcPr>
            <w:tcW w:w="1054" w:type="dxa"/>
            <w:tcBorders>
              <w:top w:val="single" w:sz="4" w:space="0" w:color="auto"/>
            </w:tcBorders>
          </w:tcPr>
          <w:p w:rsidR="00D25197" w:rsidRPr="0054489B" w:rsidRDefault="00D25197" w:rsidP="00D25197">
            <w:pPr>
              <w:spacing w:after="0"/>
              <w:rPr>
                <w:rFonts w:eastAsia="Times New Roman"/>
                <w:b/>
                <w:color w:val="000000"/>
                <w:sz w:val="22"/>
                <w:szCs w:val="22"/>
              </w:rPr>
            </w:pPr>
          </w:p>
        </w:tc>
        <w:tc>
          <w:tcPr>
            <w:tcW w:w="1066" w:type="dxa"/>
            <w:tcBorders>
              <w:top w:val="single" w:sz="4" w:space="0" w:color="auto"/>
            </w:tcBorders>
            <w:shd w:val="clear" w:color="auto" w:fill="auto"/>
            <w:noWrap/>
            <w:vAlign w:val="bottom"/>
            <w:hideMark/>
          </w:tcPr>
          <w:p w:rsidR="00D25197" w:rsidRPr="0054489B" w:rsidRDefault="00AF4D6B" w:rsidP="00D25197">
            <w:pPr>
              <w:spacing w:after="0"/>
              <w:rPr>
                <w:rFonts w:eastAsia="Times New Roman"/>
                <w:b/>
                <w:color w:val="000000"/>
                <w:sz w:val="22"/>
                <w:szCs w:val="22"/>
              </w:rPr>
            </w:pPr>
            <w:r w:rsidRPr="0054489B">
              <w:rPr>
                <w:rFonts w:eastAsia="Times New Roman"/>
                <w:b/>
                <w:color w:val="000000"/>
                <w:sz w:val="22"/>
                <w:szCs w:val="22"/>
              </w:rPr>
              <w:t>2,420</w:t>
            </w:r>
          </w:p>
        </w:tc>
        <w:tc>
          <w:tcPr>
            <w:tcW w:w="949" w:type="dxa"/>
            <w:tcBorders>
              <w:top w:val="single" w:sz="4" w:space="0" w:color="auto"/>
            </w:tcBorders>
          </w:tcPr>
          <w:p w:rsidR="00D25197" w:rsidRPr="0054489B" w:rsidRDefault="00D25197" w:rsidP="00D25197">
            <w:pPr>
              <w:spacing w:after="0"/>
              <w:rPr>
                <w:rFonts w:eastAsia="Times New Roman"/>
                <w:b/>
                <w:color w:val="000000"/>
                <w:sz w:val="22"/>
                <w:szCs w:val="22"/>
              </w:rPr>
            </w:pPr>
          </w:p>
        </w:tc>
        <w:tc>
          <w:tcPr>
            <w:tcW w:w="953" w:type="dxa"/>
            <w:tcBorders>
              <w:top w:val="single" w:sz="4" w:space="0" w:color="auto"/>
            </w:tcBorders>
            <w:shd w:val="clear" w:color="auto" w:fill="auto"/>
            <w:noWrap/>
            <w:vAlign w:val="bottom"/>
            <w:hideMark/>
          </w:tcPr>
          <w:p w:rsidR="00D25197" w:rsidRPr="0054489B" w:rsidRDefault="00AF4D6B" w:rsidP="00D25197">
            <w:pPr>
              <w:spacing w:after="0"/>
              <w:rPr>
                <w:rFonts w:eastAsia="Times New Roman"/>
                <w:b/>
                <w:color w:val="000000"/>
                <w:sz w:val="22"/>
                <w:szCs w:val="22"/>
              </w:rPr>
            </w:pPr>
            <w:r w:rsidRPr="0054489B">
              <w:rPr>
                <w:rFonts w:eastAsia="Times New Roman"/>
                <w:b/>
                <w:color w:val="000000"/>
                <w:sz w:val="22"/>
                <w:szCs w:val="22"/>
              </w:rPr>
              <w:t>2,360</w:t>
            </w:r>
          </w:p>
        </w:tc>
      </w:tr>
      <w:tr w:rsidR="003C0A3F" w:rsidTr="00D25197">
        <w:trPr>
          <w:trHeight w:val="300"/>
          <w:jc w:val="center"/>
        </w:trPr>
        <w:tc>
          <w:tcPr>
            <w:tcW w:w="5554" w:type="dxa"/>
            <w:shd w:val="clear" w:color="auto" w:fill="auto"/>
            <w:noWrap/>
            <w:vAlign w:val="bottom"/>
            <w:hideMark/>
          </w:tcPr>
          <w:p w:rsidR="00D25197" w:rsidRPr="00344D1C" w:rsidRDefault="00AF4D6B" w:rsidP="00D25197">
            <w:pPr>
              <w:spacing w:after="0"/>
              <w:rPr>
                <w:rFonts w:eastAsia="Times New Roman"/>
                <w:color w:val="000000"/>
                <w:sz w:val="22"/>
                <w:szCs w:val="22"/>
              </w:rPr>
            </w:pPr>
            <w:r w:rsidRPr="00344D1C">
              <w:rPr>
                <w:rFonts w:eastAsia="Times New Roman"/>
                <w:color w:val="000000"/>
                <w:sz w:val="22"/>
                <w:szCs w:val="22"/>
              </w:rPr>
              <w:t> COGS excluding D&amp;A</w:t>
            </w:r>
          </w:p>
        </w:tc>
        <w:tc>
          <w:tcPr>
            <w:tcW w:w="1054" w:type="dxa"/>
          </w:tcPr>
          <w:p w:rsidR="00D25197" w:rsidRDefault="00AF4D6B" w:rsidP="00D25197">
            <w:pPr>
              <w:spacing w:after="0"/>
              <w:rPr>
                <w:rFonts w:eastAsia="Times New Roman"/>
                <w:color w:val="000000"/>
                <w:sz w:val="22"/>
                <w:szCs w:val="22"/>
              </w:rPr>
            </w:pPr>
            <w:r>
              <w:rPr>
                <w:rFonts w:eastAsia="Times New Roman"/>
                <w:color w:val="000000"/>
                <w:sz w:val="22"/>
                <w:szCs w:val="22"/>
              </w:rPr>
              <w:t>1,140</w:t>
            </w:r>
          </w:p>
        </w:tc>
        <w:tc>
          <w:tcPr>
            <w:tcW w:w="1066" w:type="dxa"/>
            <w:shd w:val="clear" w:color="auto" w:fill="auto"/>
            <w:noWrap/>
            <w:vAlign w:val="bottom"/>
            <w:hideMark/>
          </w:tcPr>
          <w:p w:rsidR="00D25197" w:rsidRPr="00344D1C" w:rsidRDefault="00D25197" w:rsidP="00D25197">
            <w:pPr>
              <w:spacing w:after="0"/>
              <w:rPr>
                <w:rFonts w:eastAsia="Times New Roman"/>
                <w:color w:val="000000"/>
                <w:sz w:val="22"/>
                <w:szCs w:val="22"/>
              </w:rPr>
            </w:pPr>
          </w:p>
        </w:tc>
        <w:tc>
          <w:tcPr>
            <w:tcW w:w="949" w:type="dxa"/>
          </w:tcPr>
          <w:p w:rsidR="00D25197" w:rsidRDefault="00AF4D6B" w:rsidP="00D25197">
            <w:pPr>
              <w:spacing w:after="0"/>
              <w:rPr>
                <w:rFonts w:eastAsia="Times New Roman"/>
                <w:color w:val="000000"/>
                <w:sz w:val="22"/>
                <w:szCs w:val="22"/>
              </w:rPr>
            </w:pPr>
            <w:r>
              <w:rPr>
                <w:rFonts w:eastAsia="Times New Roman"/>
                <w:color w:val="000000"/>
                <w:sz w:val="22"/>
                <w:szCs w:val="22"/>
              </w:rPr>
              <w:t>1,100</w:t>
            </w:r>
          </w:p>
        </w:tc>
        <w:tc>
          <w:tcPr>
            <w:tcW w:w="953" w:type="dxa"/>
            <w:shd w:val="clear" w:color="auto" w:fill="auto"/>
            <w:noWrap/>
            <w:vAlign w:val="bottom"/>
            <w:hideMark/>
          </w:tcPr>
          <w:p w:rsidR="00D25197" w:rsidRPr="00344D1C" w:rsidRDefault="00D25197" w:rsidP="00D25197">
            <w:pPr>
              <w:spacing w:after="0"/>
              <w:rPr>
                <w:rFonts w:eastAsia="Times New Roman"/>
                <w:color w:val="000000"/>
                <w:sz w:val="22"/>
                <w:szCs w:val="22"/>
              </w:rPr>
            </w:pPr>
          </w:p>
        </w:tc>
      </w:tr>
      <w:tr w:rsidR="003C0A3F" w:rsidTr="00D25197">
        <w:trPr>
          <w:trHeight w:val="300"/>
          <w:jc w:val="center"/>
        </w:trPr>
        <w:tc>
          <w:tcPr>
            <w:tcW w:w="5554" w:type="dxa"/>
            <w:shd w:val="clear" w:color="auto" w:fill="auto"/>
            <w:noWrap/>
            <w:vAlign w:val="bottom"/>
            <w:hideMark/>
          </w:tcPr>
          <w:p w:rsidR="00D25197" w:rsidRPr="00344D1C" w:rsidRDefault="00AF4D6B" w:rsidP="00D25197">
            <w:pPr>
              <w:spacing w:after="0"/>
              <w:rPr>
                <w:rFonts w:eastAsia="Times New Roman"/>
                <w:color w:val="000000"/>
                <w:sz w:val="22"/>
                <w:szCs w:val="22"/>
              </w:rPr>
            </w:pPr>
            <w:r w:rsidRPr="00344D1C">
              <w:rPr>
                <w:rFonts w:eastAsia="Times New Roman"/>
                <w:color w:val="000000"/>
                <w:sz w:val="22"/>
                <w:szCs w:val="22"/>
              </w:rPr>
              <w:t>Depreciation &amp; Amortization Expense</w:t>
            </w:r>
          </w:p>
        </w:tc>
        <w:tc>
          <w:tcPr>
            <w:tcW w:w="1054" w:type="dxa"/>
          </w:tcPr>
          <w:p w:rsidR="00D25197" w:rsidRDefault="00AF4D6B" w:rsidP="00D25197">
            <w:pPr>
              <w:spacing w:after="0"/>
              <w:rPr>
                <w:rFonts w:eastAsia="Times New Roman"/>
                <w:color w:val="000000"/>
                <w:sz w:val="22"/>
                <w:szCs w:val="22"/>
              </w:rPr>
            </w:pPr>
            <w:r>
              <w:rPr>
                <w:rFonts w:eastAsia="Times New Roman"/>
                <w:color w:val="000000"/>
                <w:sz w:val="22"/>
                <w:szCs w:val="22"/>
              </w:rPr>
              <w:t>90.0</w:t>
            </w:r>
          </w:p>
        </w:tc>
        <w:tc>
          <w:tcPr>
            <w:tcW w:w="1066" w:type="dxa"/>
            <w:shd w:val="clear" w:color="auto" w:fill="auto"/>
            <w:noWrap/>
            <w:vAlign w:val="bottom"/>
            <w:hideMark/>
          </w:tcPr>
          <w:p w:rsidR="00D25197" w:rsidRPr="00344D1C" w:rsidRDefault="00D25197" w:rsidP="00D25197">
            <w:pPr>
              <w:spacing w:after="0"/>
              <w:rPr>
                <w:rFonts w:eastAsia="Times New Roman"/>
                <w:color w:val="000000"/>
                <w:sz w:val="22"/>
                <w:szCs w:val="22"/>
              </w:rPr>
            </w:pPr>
          </w:p>
        </w:tc>
        <w:tc>
          <w:tcPr>
            <w:tcW w:w="949" w:type="dxa"/>
          </w:tcPr>
          <w:p w:rsidR="00D25197" w:rsidRDefault="00AF4D6B" w:rsidP="00D25197">
            <w:pPr>
              <w:spacing w:after="0"/>
              <w:rPr>
                <w:rFonts w:eastAsia="Times New Roman"/>
                <w:color w:val="000000"/>
                <w:sz w:val="22"/>
                <w:szCs w:val="22"/>
              </w:rPr>
            </w:pPr>
            <w:r>
              <w:rPr>
                <w:rFonts w:eastAsia="Times New Roman"/>
                <w:color w:val="000000"/>
                <w:sz w:val="22"/>
                <w:szCs w:val="22"/>
              </w:rPr>
              <w:t>100</w:t>
            </w:r>
          </w:p>
        </w:tc>
        <w:tc>
          <w:tcPr>
            <w:tcW w:w="953" w:type="dxa"/>
            <w:shd w:val="clear" w:color="auto" w:fill="auto"/>
            <w:noWrap/>
            <w:vAlign w:val="bottom"/>
            <w:hideMark/>
          </w:tcPr>
          <w:p w:rsidR="00D25197" w:rsidRPr="00344D1C" w:rsidRDefault="00D25197" w:rsidP="00D25197">
            <w:pPr>
              <w:spacing w:after="0"/>
              <w:rPr>
                <w:rFonts w:eastAsia="Times New Roman"/>
                <w:color w:val="000000"/>
                <w:sz w:val="22"/>
                <w:szCs w:val="22"/>
              </w:rPr>
            </w:pPr>
          </w:p>
        </w:tc>
      </w:tr>
      <w:tr w:rsidR="003C0A3F" w:rsidTr="00D25197">
        <w:trPr>
          <w:trHeight w:val="300"/>
          <w:jc w:val="center"/>
        </w:trPr>
        <w:tc>
          <w:tcPr>
            <w:tcW w:w="5554" w:type="dxa"/>
            <w:tcBorders>
              <w:bottom w:val="single" w:sz="4" w:space="0" w:color="auto"/>
            </w:tcBorders>
            <w:shd w:val="clear" w:color="auto" w:fill="auto"/>
            <w:noWrap/>
            <w:vAlign w:val="bottom"/>
            <w:hideMark/>
          </w:tcPr>
          <w:p w:rsidR="00D25197" w:rsidRPr="00344D1C" w:rsidRDefault="00AF4D6B" w:rsidP="00D25197">
            <w:pPr>
              <w:spacing w:after="0"/>
              <w:rPr>
                <w:rFonts w:eastAsia="Times New Roman"/>
                <w:color w:val="000000"/>
                <w:sz w:val="22"/>
                <w:szCs w:val="22"/>
              </w:rPr>
            </w:pPr>
            <w:r>
              <w:rPr>
                <w:rFonts w:eastAsia="Times New Roman"/>
                <w:color w:val="000000"/>
                <w:sz w:val="22"/>
                <w:szCs w:val="22"/>
              </w:rPr>
              <w:t>Cost of Goods Inc. D&amp;A</w:t>
            </w:r>
          </w:p>
        </w:tc>
        <w:tc>
          <w:tcPr>
            <w:tcW w:w="1054" w:type="dxa"/>
            <w:tcBorders>
              <w:bottom w:val="single" w:sz="4" w:space="0" w:color="auto"/>
            </w:tcBorders>
          </w:tcPr>
          <w:p w:rsidR="00D25197" w:rsidRDefault="00D25197" w:rsidP="00D25197">
            <w:pPr>
              <w:spacing w:after="0"/>
              <w:rPr>
                <w:rFonts w:eastAsia="Times New Roman"/>
                <w:color w:val="000000"/>
                <w:sz w:val="22"/>
                <w:szCs w:val="22"/>
              </w:rPr>
            </w:pPr>
          </w:p>
        </w:tc>
        <w:tc>
          <w:tcPr>
            <w:tcW w:w="1066" w:type="dxa"/>
            <w:tcBorders>
              <w:bottom w:val="single" w:sz="4" w:space="0" w:color="auto"/>
            </w:tcBorders>
            <w:shd w:val="clear" w:color="auto" w:fill="auto"/>
            <w:noWrap/>
            <w:vAlign w:val="bottom"/>
            <w:hideMark/>
          </w:tcPr>
          <w:p w:rsidR="00D25197" w:rsidRPr="00344D1C" w:rsidRDefault="00AF4D6B" w:rsidP="00D25197">
            <w:pPr>
              <w:spacing w:after="0"/>
              <w:rPr>
                <w:rFonts w:eastAsia="Times New Roman"/>
                <w:color w:val="000000"/>
                <w:sz w:val="22"/>
                <w:szCs w:val="22"/>
              </w:rPr>
            </w:pPr>
            <w:r>
              <w:rPr>
                <w:rFonts w:eastAsia="Times New Roman"/>
                <w:color w:val="000000"/>
                <w:sz w:val="22"/>
                <w:szCs w:val="22"/>
              </w:rPr>
              <w:t>1230</w:t>
            </w:r>
          </w:p>
        </w:tc>
        <w:tc>
          <w:tcPr>
            <w:tcW w:w="949" w:type="dxa"/>
            <w:tcBorders>
              <w:bottom w:val="single" w:sz="4" w:space="0" w:color="auto"/>
            </w:tcBorders>
          </w:tcPr>
          <w:p w:rsidR="00D25197" w:rsidRDefault="00D25197" w:rsidP="00D25197">
            <w:pPr>
              <w:spacing w:after="0"/>
              <w:rPr>
                <w:rFonts w:eastAsia="Times New Roman"/>
                <w:color w:val="000000"/>
                <w:sz w:val="22"/>
                <w:szCs w:val="22"/>
              </w:rPr>
            </w:pPr>
          </w:p>
        </w:tc>
        <w:tc>
          <w:tcPr>
            <w:tcW w:w="953" w:type="dxa"/>
            <w:tcBorders>
              <w:bottom w:val="single" w:sz="4" w:space="0" w:color="auto"/>
            </w:tcBorders>
            <w:shd w:val="clear" w:color="auto" w:fill="auto"/>
            <w:noWrap/>
            <w:vAlign w:val="bottom"/>
            <w:hideMark/>
          </w:tcPr>
          <w:p w:rsidR="00D25197" w:rsidRPr="00344D1C" w:rsidRDefault="00AF4D6B" w:rsidP="00D25197">
            <w:pPr>
              <w:spacing w:after="0"/>
              <w:rPr>
                <w:rFonts w:eastAsia="Times New Roman"/>
                <w:color w:val="000000"/>
                <w:sz w:val="22"/>
                <w:szCs w:val="22"/>
              </w:rPr>
            </w:pPr>
            <w:r>
              <w:rPr>
                <w:rFonts w:eastAsia="Times New Roman"/>
                <w:color w:val="000000"/>
                <w:sz w:val="22"/>
                <w:szCs w:val="22"/>
              </w:rPr>
              <w:t>1,200</w:t>
            </w:r>
          </w:p>
        </w:tc>
      </w:tr>
      <w:tr w:rsidR="003C0A3F" w:rsidTr="00D25197">
        <w:trPr>
          <w:trHeight w:val="300"/>
          <w:jc w:val="center"/>
        </w:trPr>
        <w:tc>
          <w:tcPr>
            <w:tcW w:w="5554" w:type="dxa"/>
            <w:tcBorders>
              <w:top w:val="single" w:sz="4" w:space="0" w:color="auto"/>
            </w:tcBorders>
            <w:shd w:val="clear" w:color="auto" w:fill="auto"/>
            <w:noWrap/>
            <w:vAlign w:val="bottom"/>
            <w:hideMark/>
          </w:tcPr>
          <w:p w:rsidR="00D25197" w:rsidRPr="00344D1C" w:rsidRDefault="00AF4D6B" w:rsidP="00D25197">
            <w:pPr>
              <w:spacing w:after="0"/>
              <w:rPr>
                <w:rFonts w:eastAsia="Times New Roman"/>
                <w:b/>
                <w:bCs/>
                <w:color w:val="000000"/>
                <w:sz w:val="22"/>
                <w:szCs w:val="22"/>
              </w:rPr>
            </w:pPr>
            <w:r w:rsidRPr="00344D1C">
              <w:rPr>
                <w:rFonts w:eastAsia="Times New Roman"/>
                <w:b/>
                <w:bCs/>
                <w:color w:val="000000"/>
                <w:sz w:val="22"/>
                <w:szCs w:val="22"/>
              </w:rPr>
              <w:t> Gross Income</w:t>
            </w:r>
          </w:p>
        </w:tc>
        <w:tc>
          <w:tcPr>
            <w:tcW w:w="1054" w:type="dxa"/>
            <w:tcBorders>
              <w:top w:val="single" w:sz="4" w:space="0" w:color="auto"/>
            </w:tcBorders>
          </w:tcPr>
          <w:p w:rsidR="00D25197" w:rsidRDefault="00D25197" w:rsidP="00D25197">
            <w:pPr>
              <w:spacing w:after="0"/>
              <w:rPr>
                <w:rFonts w:eastAsia="Times New Roman"/>
                <w:b/>
                <w:bCs/>
                <w:color w:val="000000"/>
                <w:sz w:val="22"/>
                <w:szCs w:val="22"/>
              </w:rPr>
            </w:pPr>
          </w:p>
        </w:tc>
        <w:tc>
          <w:tcPr>
            <w:tcW w:w="1066" w:type="dxa"/>
            <w:tcBorders>
              <w:top w:val="single" w:sz="4" w:space="0" w:color="auto"/>
            </w:tcBorders>
            <w:shd w:val="clear" w:color="auto" w:fill="auto"/>
            <w:noWrap/>
            <w:vAlign w:val="bottom"/>
            <w:hideMark/>
          </w:tcPr>
          <w:p w:rsidR="00D25197" w:rsidRPr="00344D1C" w:rsidRDefault="00AF4D6B" w:rsidP="00D25197">
            <w:pPr>
              <w:spacing w:after="0"/>
              <w:rPr>
                <w:rFonts w:eastAsia="Times New Roman"/>
                <w:b/>
                <w:bCs/>
                <w:color w:val="000000"/>
                <w:sz w:val="22"/>
                <w:szCs w:val="22"/>
              </w:rPr>
            </w:pPr>
            <w:r>
              <w:rPr>
                <w:rFonts w:eastAsia="Times New Roman"/>
                <w:b/>
                <w:bCs/>
                <w:color w:val="000000"/>
                <w:sz w:val="22"/>
                <w:szCs w:val="22"/>
              </w:rPr>
              <w:t>1,190</w:t>
            </w:r>
          </w:p>
        </w:tc>
        <w:tc>
          <w:tcPr>
            <w:tcW w:w="949" w:type="dxa"/>
            <w:tcBorders>
              <w:top w:val="single" w:sz="4" w:space="0" w:color="auto"/>
            </w:tcBorders>
          </w:tcPr>
          <w:p w:rsidR="00D25197" w:rsidRDefault="00D25197" w:rsidP="00D25197">
            <w:pPr>
              <w:spacing w:after="0"/>
              <w:rPr>
                <w:rFonts w:eastAsia="Times New Roman"/>
                <w:b/>
                <w:bCs/>
                <w:color w:val="000000"/>
                <w:sz w:val="22"/>
                <w:szCs w:val="22"/>
              </w:rPr>
            </w:pPr>
          </w:p>
        </w:tc>
        <w:tc>
          <w:tcPr>
            <w:tcW w:w="953" w:type="dxa"/>
            <w:tcBorders>
              <w:top w:val="single" w:sz="4" w:space="0" w:color="auto"/>
            </w:tcBorders>
            <w:shd w:val="clear" w:color="auto" w:fill="auto"/>
            <w:noWrap/>
            <w:vAlign w:val="bottom"/>
            <w:hideMark/>
          </w:tcPr>
          <w:p w:rsidR="00D25197" w:rsidRPr="00344D1C" w:rsidRDefault="00AF4D6B" w:rsidP="00D25197">
            <w:pPr>
              <w:spacing w:after="0"/>
              <w:rPr>
                <w:rFonts w:eastAsia="Times New Roman"/>
                <w:b/>
                <w:bCs/>
                <w:color w:val="000000"/>
                <w:sz w:val="22"/>
                <w:szCs w:val="22"/>
              </w:rPr>
            </w:pPr>
            <w:r>
              <w:rPr>
                <w:rFonts w:eastAsia="Times New Roman"/>
                <w:b/>
                <w:bCs/>
                <w:color w:val="000000"/>
                <w:sz w:val="22"/>
                <w:szCs w:val="22"/>
              </w:rPr>
              <w:t>1,160</w:t>
            </w:r>
          </w:p>
        </w:tc>
      </w:tr>
      <w:tr w:rsidR="003C0A3F" w:rsidTr="00D25197">
        <w:trPr>
          <w:trHeight w:val="300"/>
          <w:jc w:val="center"/>
        </w:trPr>
        <w:tc>
          <w:tcPr>
            <w:tcW w:w="5554" w:type="dxa"/>
            <w:shd w:val="clear" w:color="auto" w:fill="auto"/>
            <w:noWrap/>
            <w:vAlign w:val="bottom"/>
            <w:hideMark/>
          </w:tcPr>
          <w:p w:rsidR="00D25197" w:rsidRPr="00344D1C" w:rsidRDefault="00AF4D6B" w:rsidP="00D25197">
            <w:pPr>
              <w:spacing w:after="0"/>
              <w:rPr>
                <w:rFonts w:eastAsia="Times New Roman"/>
                <w:color w:val="000000"/>
                <w:sz w:val="22"/>
                <w:szCs w:val="22"/>
              </w:rPr>
            </w:pPr>
            <w:r w:rsidRPr="00344D1C">
              <w:rPr>
                <w:rFonts w:eastAsia="Times New Roman"/>
                <w:color w:val="000000"/>
                <w:sz w:val="22"/>
                <w:szCs w:val="22"/>
              </w:rPr>
              <w:t> SG&amp;A Expense</w:t>
            </w:r>
          </w:p>
        </w:tc>
        <w:tc>
          <w:tcPr>
            <w:tcW w:w="1054" w:type="dxa"/>
          </w:tcPr>
          <w:p w:rsidR="00D25197" w:rsidRPr="00344D1C" w:rsidRDefault="00D25197" w:rsidP="00D25197">
            <w:pPr>
              <w:spacing w:after="0"/>
              <w:rPr>
                <w:rFonts w:eastAsia="Times New Roman"/>
                <w:color w:val="000000"/>
                <w:sz w:val="22"/>
                <w:szCs w:val="22"/>
              </w:rPr>
            </w:pPr>
          </w:p>
        </w:tc>
        <w:tc>
          <w:tcPr>
            <w:tcW w:w="1066" w:type="dxa"/>
            <w:shd w:val="clear" w:color="auto" w:fill="auto"/>
            <w:noWrap/>
            <w:vAlign w:val="bottom"/>
            <w:hideMark/>
          </w:tcPr>
          <w:p w:rsidR="00D25197" w:rsidRPr="00344D1C" w:rsidRDefault="00AF4D6B" w:rsidP="00D25197">
            <w:pPr>
              <w:spacing w:after="0"/>
              <w:rPr>
                <w:rFonts w:eastAsia="Times New Roman"/>
                <w:color w:val="000000"/>
                <w:sz w:val="22"/>
                <w:szCs w:val="22"/>
              </w:rPr>
            </w:pPr>
            <w:r>
              <w:rPr>
                <w:rFonts w:eastAsia="Times New Roman"/>
                <w:color w:val="000000"/>
                <w:sz w:val="22"/>
                <w:szCs w:val="22"/>
              </w:rPr>
              <w:t>(872.1)</w:t>
            </w:r>
          </w:p>
        </w:tc>
        <w:tc>
          <w:tcPr>
            <w:tcW w:w="949" w:type="dxa"/>
          </w:tcPr>
          <w:p w:rsidR="00D25197" w:rsidRPr="00344D1C" w:rsidRDefault="00D25197" w:rsidP="00D25197">
            <w:pPr>
              <w:spacing w:after="0"/>
              <w:rPr>
                <w:rFonts w:eastAsia="Times New Roman"/>
                <w:color w:val="000000"/>
                <w:sz w:val="22"/>
                <w:szCs w:val="22"/>
              </w:rPr>
            </w:pPr>
          </w:p>
        </w:tc>
        <w:tc>
          <w:tcPr>
            <w:tcW w:w="953" w:type="dxa"/>
            <w:shd w:val="clear" w:color="auto" w:fill="auto"/>
            <w:noWrap/>
            <w:vAlign w:val="bottom"/>
            <w:hideMark/>
          </w:tcPr>
          <w:p w:rsidR="00D25197" w:rsidRPr="00344D1C" w:rsidRDefault="00AF4D6B" w:rsidP="00D25197">
            <w:pPr>
              <w:spacing w:after="0"/>
              <w:rPr>
                <w:rFonts w:eastAsia="Times New Roman"/>
                <w:color w:val="000000"/>
                <w:sz w:val="22"/>
                <w:szCs w:val="22"/>
              </w:rPr>
            </w:pPr>
            <w:r>
              <w:rPr>
                <w:rFonts w:eastAsia="Times New Roman"/>
                <w:color w:val="000000"/>
                <w:sz w:val="22"/>
                <w:szCs w:val="22"/>
              </w:rPr>
              <w:t>(809.5)</w:t>
            </w:r>
          </w:p>
        </w:tc>
      </w:tr>
      <w:tr w:rsidR="003C0A3F" w:rsidTr="00D25197">
        <w:trPr>
          <w:trHeight w:val="300"/>
          <w:jc w:val="center"/>
        </w:trPr>
        <w:tc>
          <w:tcPr>
            <w:tcW w:w="5554" w:type="dxa"/>
            <w:tcBorders>
              <w:bottom w:val="single" w:sz="4" w:space="0" w:color="auto"/>
            </w:tcBorders>
            <w:shd w:val="clear" w:color="auto" w:fill="auto"/>
            <w:noWrap/>
            <w:vAlign w:val="bottom"/>
            <w:hideMark/>
          </w:tcPr>
          <w:p w:rsidR="00D25197" w:rsidRPr="00344D1C" w:rsidRDefault="00AF4D6B" w:rsidP="00D25197">
            <w:pPr>
              <w:spacing w:after="0"/>
              <w:rPr>
                <w:rFonts w:eastAsia="Times New Roman"/>
                <w:color w:val="000000"/>
                <w:sz w:val="22"/>
                <w:szCs w:val="22"/>
              </w:rPr>
            </w:pPr>
            <w:r w:rsidRPr="00344D1C">
              <w:rPr>
                <w:rFonts w:eastAsia="Times New Roman"/>
                <w:color w:val="000000"/>
                <w:sz w:val="22"/>
                <w:szCs w:val="22"/>
              </w:rPr>
              <w:t>Unusual Expense</w:t>
            </w:r>
          </w:p>
        </w:tc>
        <w:tc>
          <w:tcPr>
            <w:tcW w:w="1054" w:type="dxa"/>
            <w:tcBorders>
              <w:bottom w:val="single" w:sz="4" w:space="0" w:color="auto"/>
            </w:tcBorders>
          </w:tcPr>
          <w:p w:rsidR="00D25197" w:rsidRPr="00344D1C" w:rsidRDefault="00D25197" w:rsidP="00D25197">
            <w:pPr>
              <w:spacing w:after="0"/>
              <w:rPr>
                <w:rFonts w:eastAsia="Times New Roman"/>
                <w:color w:val="000000"/>
                <w:sz w:val="22"/>
                <w:szCs w:val="22"/>
              </w:rPr>
            </w:pPr>
          </w:p>
        </w:tc>
        <w:tc>
          <w:tcPr>
            <w:tcW w:w="1066" w:type="dxa"/>
            <w:tcBorders>
              <w:bottom w:val="single" w:sz="4" w:space="0" w:color="auto"/>
            </w:tcBorders>
            <w:shd w:val="clear" w:color="auto" w:fill="auto"/>
            <w:noWrap/>
            <w:vAlign w:val="bottom"/>
            <w:hideMark/>
          </w:tcPr>
          <w:p w:rsidR="00D25197" w:rsidRPr="00344D1C" w:rsidRDefault="00AF4D6B" w:rsidP="00D25197">
            <w:pPr>
              <w:spacing w:after="0"/>
              <w:rPr>
                <w:rFonts w:eastAsia="Times New Roman"/>
                <w:color w:val="000000"/>
                <w:sz w:val="22"/>
                <w:szCs w:val="22"/>
              </w:rPr>
            </w:pPr>
            <w:r>
              <w:rPr>
                <w:rFonts w:eastAsia="Times New Roman"/>
                <w:color w:val="000000"/>
                <w:sz w:val="22"/>
                <w:szCs w:val="22"/>
              </w:rPr>
              <w:t>(662.7)</w:t>
            </w:r>
          </w:p>
        </w:tc>
        <w:tc>
          <w:tcPr>
            <w:tcW w:w="949" w:type="dxa"/>
            <w:tcBorders>
              <w:bottom w:val="single" w:sz="4" w:space="0" w:color="auto"/>
            </w:tcBorders>
          </w:tcPr>
          <w:p w:rsidR="00D25197" w:rsidRPr="00344D1C" w:rsidRDefault="00D25197" w:rsidP="00D25197">
            <w:pPr>
              <w:spacing w:after="0"/>
              <w:rPr>
                <w:rFonts w:eastAsia="Times New Roman"/>
                <w:color w:val="000000"/>
                <w:sz w:val="22"/>
                <w:szCs w:val="22"/>
              </w:rPr>
            </w:pPr>
          </w:p>
        </w:tc>
        <w:tc>
          <w:tcPr>
            <w:tcW w:w="953" w:type="dxa"/>
            <w:tcBorders>
              <w:bottom w:val="single" w:sz="4" w:space="0" w:color="auto"/>
            </w:tcBorders>
            <w:shd w:val="clear" w:color="auto" w:fill="auto"/>
            <w:noWrap/>
            <w:vAlign w:val="bottom"/>
            <w:hideMark/>
          </w:tcPr>
          <w:p w:rsidR="00D25197" w:rsidRPr="00344D1C" w:rsidRDefault="00AF4D6B" w:rsidP="00D25197">
            <w:pPr>
              <w:spacing w:after="0"/>
              <w:rPr>
                <w:rFonts w:eastAsia="Times New Roman"/>
                <w:color w:val="000000"/>
                <w:sz w:val="22"/>
                <w:szCs w:val="22"/>
              </w:rPr>
            </w:pPr>
            <w:r>
              <w:rPr>
                <w:rFonts w:eastAsia="Times New Roman"/>
                <w:color w:val="000000"/>
                <w:sz w:val="22"/>
                <w:szCs w:val="22"/>
              </w:rPr>
              <w:t>(67.6)</w:t>
            </w:r>
          </w:p>
        </w:tc>
      </w:tr>
      <w:tr w:rsidR="003C0A3F" w:rsidTr="00D25197">
        <w:trPr>
          <w:trHeight w:val="300"/>
          <w:jc w:val="center"/>
        </w:trPr>
        <w:tc>
          <w:tcPr>
            <w:tcW w:w="5554" w:type="dxa"/>
            <w:tcBorders>
              <w:top w:val="single" w:sz="4" w:space="0" w:color="auto"/>
            </w:tcBorders>
            <w:shd w:val="clear" w:color="auto" w:fill="auto"/>
            <w:noWrap/>
            <w:vAlign w:val="bottom"/>
            <w:hideMark/>
          </w:tcPr>
          <w:p w:rsidR="00D25197" w:rsidRPr="00344D1C" w:rsidRDefault="00AF4D6B" w:rsidP="00D25197">
            <w:pPr>
              <w:spacing w:after="0"/>
              <w:rPr>
                <w:rFonts w:eastAsia="Times New Roman"/>
                <w:color w:val="000000"/>
                <w:sz w:val="22"/>
                <w:szCs w:val="22"/>
              </w:rPr>
            </w:pPr>
            <w:r w:rsidRPr="00344D1C">
              <w:rPr>
                <w:rFonts w:eastAsia="Times New Roman"/>
                <w:color w:val="000000"/>
                <w:sz w:val="22"/>
                <w:szCs w:val="22"/>
              </w:rPr>
              <w:t>EBIT after Unusual Expense</w:t>
            </w:r>
            <w:r>
              <w:rPr>
                <w:rFonts w:eastAsia="Times New Roman"/>
                <w:color w:val="000000"/>
                <w:sz w:val="22"/>
                <w:szCs w:val="22"/>
              </w:rPr>
              <w:t xml:space="preserve"> (Gross Income-Expenses)</w:t>
            </w:r>
          </w:p>
        </w:tc>
        <w:tc>
          <w:tcPr>
            <w:tcW w:w="1054" w:type="dxa"/>
            <w:tcBorders>
              <w:top w:val="single" w:sz="4" w:space="0" w:color="auto"/>
            </w:tcBorders>
            <w:vAlign w:val="bottom"/>
          </w:tcPr>
          <w:p w:rsidR="00D25197" w:rsidRPr="00344D1C" w:rsidRDefault="00D25197" w:rsidP="00D25197">
            <w:pPr>
              <w:spacing w:after="0"/>
              <w:rPr>
                <w:rFonts w:eastAsia="Times New Roman"/>
                <w:color w:val="000000"/>
                <w:sz w:val="22"/>
                <w:szCs w:val="22"/>
              </w:rPr>
            </w:pPr>
          </w:p>
        </w:tc>
        <w:tc>
          <w:tcPr>
            <w:tcW w:w="1066" w:type="dxa"/>
            <w:tcBorders>
              <w:top w:val="single" w:sz="4" w:space="0" w:color="auto"/>
            </w:tcBorders>
            <w:shd w:val="clear" w:color="auto" w:fill="auto"/>
            <w:noWrap/>
            <w:vAlign w:val="bottom"/>
          </w:tcPr>
          <w:p w:rsidR="00D25197" w:rsidRPr="00344D1C" w:rsidRDefault="00AF4D6B" w:rsidP="00D25197">
            <w:pPr>
              <w:spacing w:after="0"/>
              <w:rPr>
                <w:rFonts w:eastAsia="Times New Roman"/>
                <w:color w:val="000000"/>
                <w:sz w:val="22"/>
                <w:szCs w:val="22"/>
              </w:rPr>
            </w:pPr>
            <w:r>
              <w:rPr>
                <w:rFonts w:eastAsia="Times New Roman"/>
                <w:color w:val="000000"/>
                <w:sz w:val="22"/>
                <w:szCs w:val="22"/>
              </w:rPr>
              <w:t>(346.8</w:t>
            </w:r>
            <w:r w:rsidRPr="00344D1C">
              <w:rPr>
                <w:rFonts w:eastAsia="Times New Roman"/>
                <w:color w:val="000000"/>
                <w:sz w:val="22"/>
                <w:szCs w:val="22"/>
              </w:rPr>
              <w:t>)</w:t>
            </w:r>
          </w:p>
        </w:tc>
        <w:tc>
          <w:tcPr>
            <w:tcW w:w="949" w:type="dxa"/>
            <w:tcBorders>
              <w:top w:val="single" w:sz="4" w:space="0" w:color="auto"/>
            </w:tcBorders>
            <w:vAlign w:val="bottom"/>
          </w:tcPr>
          <w:p w:rsidR="00D25197" w:rsidRPr="00344D1C" w:rsidRDefault="00D25197" w:rsidP="00D25197">
            <w:pPr>
              <w:spacing w:after="0"/>
              <w:rPr>
                <w:rFonts w:eastAsia="Times New Roman"/>
                <w:color w:val="000000"/>
                <w:sz w:val="22"/>
                <w:szCs w:val="22"/>
              </w:rPr>
            </w:pPr>
          </w:p>
        </w:tc>
        <w:tc>
          <w:tcPr>
            <w:tcW w:w="953" w:type="dxa"/>
            <w:tcBorders>
              <w:top w:val="single" w:sz="4" w:space="0" w:color="auto"/>
            </w:tcBorders>
            <w:shd w:val="clear" w:color="auto" w:fill="auto"/>
            <w:noWrap/>
            <w:vAlign w:val="bottom"/>
            <w:hideMark/>
          </w:tcPr>
          <w:p w:rsidR="00D25197" w:rsidRPr="00344D1C" w:rsidRDefault="00AF4D6B" w:rsidP="00D25197">
            <w:pPr>
              <w:spacing w:after="0"/>
              <w:rPr>
                <w:rFonts w:eastAsia="Times New Roman"/>
                <w:color w:val="000000"/>
                <w:sz w:val="22"/>
                <w:szCs w:val="22"/>
              </w:rPr>
            </w:pPr>
            <w:r>
              <w:rPr>
                <w:rFonts w:eastAsia="Times New Roman"/>
                <w:color w:val="000000"/>
                <w:sz w:val="22"/>
                <w:szCs w:val="22"/>
              </w:rPr>
              <w:t>284.8</w:t>
            </w:r>
          </w:p>
        </w:tc>
      </w:tr>
      <w:tr w:rsidR="003C0A3F" w:rsidTr="00D25197">
        <w:trPr>
          <w:trHeight w:val="300"/>
          <w:jc w:val="center"/>
        </w:trPr>
        <w:tc>
          <w:tcPr>
            <w:tcW w:w="5554" w:type="dxa"/>
            <w:shd w:val="clear" w:color="auto" w:fill="auto"/>
            <w:noWrap/>
            <w:vAlign w:val="bottom"/>
            <w:hideMark/>
          </w:tcPr>
          <w:p w:rsidR="00D25197" w:rsidRPr="00344D1C" w:rsidRDefault="00AF4D6B" w:rsidP="00D25197">
            <w:pPr>
              <w:spacing w:after="0"/>
              <w:rPr>
                <w:rFonts w:eastAsia="Times New Roman"/>
                <w:color w:val="000000"/>
                <w:sz w:val="22"/>
                <w:szCs w:val="22"/>
              </w:rPr>
            </w:pPr>
            <w:r w:rsidRPr="00344D1C">
              <w:rPr>
                <w:rFonts w:eastAsia="Times New Roman"/>
                <w:color w:val="000000"/>
                <w:sz w:val="22"/>
                <w:szCs w:val="22"/>
              </w:rPr>
              <w:t>Non-Operating Income/Expense</w:t>
            </w:r>
          </w:p>
        </w:tc>
        <w:tc>
          <w:tcPr>
            <w:tcW w:w="1054" w:type="dxa"/>
          </w:tcPr>
          <w:p w:rsidR="00D25197" w:rsidRPr="00344D1C" w:rsidRDefault="00AF4D6B" w:rsidP="00D25197">
            <w:pPr>
              <w:spacing w:after="0"/>
              <w:rPr>
                <w:rFonts w:eastAsia="Times New Roman"/>
                <w:color w:val="000000"/>
                <w:sz w:val="22"/>
                <w:szCs w:val="22"/>
              </w:rPr>
            </w:pPr>
            <w:r>
              <w:rPr>
                <w:rFonts w:eastAsia="Times New Roman"/>
                <w:color w:val="000000"/>
                <w:sz w:val="22"/>
                <w:szCs w:val="22"/>
              </w:rPr>
              <w:t>(12.1</w:t>
            </w:r>
            <w:r w:rsidRPr="00344D1C">
              <w:rPr>
                <w:rFonts w:eastAsia="Times New Roman"/>
                <w:color w:val="000000"/>
                <w:sz w:val="22"/>
                <w:szCs w:val="22"/>
              </w:rPr>
              <w:t>)</w:t>
            </w:r>
          </w:p>
        </w:tc>
        <w:tc>
          <w:tcPr>
            <w:tcW w:w="1066" w:type="dxa"/>
            <w:shd w:val="clear" w:color="auto" w:fill="auto"/>
            <w:noWrap/>
            <w:vAlign w:val="bottom"/>
            <w:hideMark/>
          </w:tcPr>
          <w:p w:rsidR="00D25197" w:rsidRPr="00344D1C" w:rsidRDefault="00D25197" w:rsidP="00D25197">
            <w:pPr>
              <w:spacing w:after="0"/>
              <w:rPr>
                <w:rFonts w:eastAsia="Times New Roman"/>
                <w:color w:val="000000"/>
                <w:sz w:val="22"/>
                <w:szCs w:val="22"/>
              </w:rPr>
            </w:pPr>
          </w:p>
        </w:tc>
        <w:tc>
          <w:tcPr>
            <w:tcW w:w="949" w:type="dxa"/>
            <w:vAlign w:val="bottom"/>
          </w:tcPr>
          <w:p w:rsidR="00D25197" w:rsidRPr="00344D1C" w:rsidRDefault="00AF4D6B" w:rsidP="00D25197">
            <w:pPr>
              <w:spacing w:after="0"/>
              <w:rPr>
                <w:rFonts w:eastAsia="Times New Roman"/>
                <w:color w:val="000000"/>
                <w:sz w:val="22"/>
                <w:szCs w:val="22"/>
              </w:rPr>
            </w:pPr>
            <w:r>
              <w:rPr>
                <w:rFonts w:eastAsia="Times New Roman"/>
                <w:color w:val="000000"/>
                <w:sz w:val="22"/>
                <w:szCs w:val="22"/>
              </w:rPr>
              <w:t>6.9</w:t>
            </w:r>
          </w:p>
        </w:tc>
        <w:tc>
          <w:tcPr>
            <w:tcW w:w="953" w:type="dxa"/>
            <w:shd w:val="clear" w:color="auto" w:fill="auto"/>
            <w:noWrap/>
            <w:vAlign w:val="bottom"/>
            <w:hideMark/>
          </w:tcPr>
          <w:p w:rsidR="00D25197" w:rsidRPr="00344D1C" w:rsidRDefault="00D25197" w:rsidP="00D25197">
            <w:pPr>
              <w:spacing w:after="0"/>
              <w:rPr>
                <w:rFonts w:eastAsia="Times New Roman"/>
                <w:color w:val="000000"/>
                <w:sz w:val="22"/>
                <w:szCs w:val="22"/>
              </w:rPr>
            </w:pPr>
          </w:p>
        </w:tc>
      </w:tr>
      <w:tr w:rsidR="003C0A3F" w:rsidTr="00D25197">
        <w:trPr>
          <w:trHeight w:val="300"/>
          <w:jc w:val="center"/>
        </w:trPr>
        <w:tc>
          <w:tcPr>
            <w:tcW w:w="5554" w:type="dxa"/>
            <w:tcBorders>
              <w:bottom w:val="single" w:sz="4" w:space="0" w:color="auto"/>
            </w:tcBorders>
            <w:shd w:val="clear" w:color="auto" w:fill="auto"/>
            <w:noWrap/>
            <w:vAlign w:val="bottom"/>
            <w:hideMark/>
          </w:tcPr>
          <w:p w:rsidR="00D25197" w:rsidRPr="00344D1C" w:rsidRDefault="00AF4D6B" w:rsidP="00D25197">
            <w:pPr>
              <w:spacing w:after="0"/>
              <w:rPr>
                <w:rFonts w:eastAsia="Times New Roman"/>
                <w:color w:val="000000"/>
                <w:sz w:val="22"/>
                <w:szCs w:val="22"/>
              </w:rPr>
            </w:pPr>
            <w:r w:rsidRPr="00344D1C">
              <w:rPr>
                <w:rFonts w:eastAsia="Times New Roman"/>
                <w:color w:val="000000"/>
                <w:sz w:val="22"/>
                <w:szCs w:val="22"/>
              </w:rPr>
              <w:t> Interest Expense</w:t>
            </w:r>
          </w:p>
        </w:tc>
        <w:tc>
          <w:tcPr>
            <w:tcW w:w="1054" w:type="dxa"/>
            <w:tcBorders>
              <w:bottom w:val="single" w:sz="4" w:space="0" w:color="auto"/>
            </w:tcBorders>
          </w:tcPr>
          <w:p w:rsidR="00D25197" w:rsidRPr="00344D1C" w:rsidRDefault="00AF4D6B" w:rsidP="00D25197">
            <w:pPr>
              <w:spacing w:after="0"/>
              <w:rPr>
                <w:rFonts w:eastAsia="Times New Roman"/>
                <w:color w:val="000000"/>
                <w:sz w:val="22"/>
                <w:szCs w:val="22"/>
              </w:rPr>
            </w:pPr>
            <w:r>
              <w:rPr>
                <w:rFonts w:eastAsia="Times New Roman"/>
                <w:color w:val="000000"/>
                <w:sz w:val="22"/>
                <w:szCs w:val="22"/>
              </w:rPr>
              <w:t>(99.8)</w:t>
            </w:r>
          </w:p>
        </w:tc>
        <w:tc>
          <w:tcPr>
            <w:tcW w:w="1066" w:type="dxa"/>
            <w:tcBorders>
              <w:bottom w:val="single" w:sz="4" w:space="0" w:color="auto"/>
            </w:tcBorders>
            <w:shd w:val="clear" w:color="auto" w:fill="auto"/>
            <w:noWrap/>
            <w:vAlign w:val="bottom"/>
            <w:hideMark/>
          </w:tcPr>
          <w:p w:rsidR="00D25197" w:rsidRPr="00344D1C" w:rsidRDefault="00D25197" w:rsidP="00D25197">
            <w:pPr>
              <w:spacing w:after="0"/>
              <w:rPr>
                <w:rFonts w:eastAsia="Times New Roman"/>
                <w:color w:val="000000"/>
                <w:sz w:val="22"/>
                <w:szCs w:val="22"/>
              </w:rPr>
            </w:pPr>
          </w:p>
        </w:tc>
        <w:tc>
          <w:tcPr>
            <w:tcW w:w="949" w:type="dxa"/>
            <w:tcBorders>
              <w:bottom w:val="single" w:sz="4" w:space="0" w:color="auto"/>
            </w:tcBorders>
            <w:vAlign w:val="bottom"/>
          </w:tcPr>
          <w:p w:rsidR="00D25197" w:rsidRPr="00344D1C" w:rsidRDefault="00AF4D6B" w:rsidP="00D25197">
            <w:pPr>
              <w:spacing w:after="0"/>
              <w:rPr>
                <w:rFonts w:eastAsia="Times New Roman"/>
                <w:color w:val="000000"/>
                <w:sz w:val="22"/>
                <w:szCs w:val="22"/>
              </w:rPr>
            </w:pPr>
            <w:r>
              <w:rPr>
                <w:rFonts w:eastAsia="Times New Roman"/>
                <w:color w:val="000000"/>
                <w:sz w:val="22"/>
                <w:szCs w:val="22"/>
              </w:rPr>
              <w:t>(71.8)</w:t>
            </w:r>
          </w:p>
        </w:tc>
        <w:tc>
          <w:tcPr>
            <w:tcW w:w="953" w:type="dxa"/>
            <w:tcBorders>
              <w:bottom w:val="single" w:sz="4" w:space="0" w:color="auto"/>
            </w:tcBorders>
            <w:shd w:val="clear" w:color="auto" w:fill="auto"/>
            <w:noWrap/>
            <w:vAlign w:val="bottom"/>
            <w:hideMark/>
          </w:tcPr>
          <w:p w:rsidR="00D25197" w:rsidRPr="00344D1C" w:rsidRDefault="00D25197" w:rsidP="00D25197">
            <w:pPr>
              <w:spacing w:after="0"/>
              <w:rPr>
                <w:rFonts w:eastAsia="Times New Roman"/>
                <w:color w:val="000000"/>
                <w:sz w:val="22"/>
                <w:szCs w:val="22"/>
              </w:rPr>
            </w:pPr>
          </w:p>
        </w:tc>
      </w:tr>
      <w:tr w:rsidR="003C0A3F" w:rsidTr="00D25197">
        <w:trPr>
          <w:trHeight w:val="300"/>
          <w:jc w:val="center"/>
        </w:trPr>
        <w:tc>
          <w:tcPr>
            <w:tcW w:w="5554" w:type="dxa"/>
            <w:tcBorders>
              <w:top w:val="single" w:sz="4" w:space="0" w:color="auto"/>
            </w:tcBorders>
            <w:shd w:val="clear" w:color="auto" w:fill="auto"/>
            <w:noWrap/>
            <w:vAlign w:val="bottom"/>
            <w:hideMark/>
          </w:tcPr>
          <w:p w:rsidR="00D25197" w:rsidRPr="00344D1C" w:rsidRDefault="00AF4D6B" w:rsidP="00D25197">
            <w:pPr>
              <w:spacing w:after="0"/>
              <w:rPr>
                <w:rFonts w:eastAsia="Times New Roman"/>
                <w:color w:val="000000"/>
                <w:sz w:val="22"/>
                <w:szCs w:val="22"/>
              </w:rPr>
            </w:pPr>
            <w:r w:rsidRPr="00344D1C">
              <w:rPr>
                <w:rFonts w:eastAsia="Times New Roman"/>
                <w:color w:val="000000"/>
                <w:sz w:val="22"/>
                <w:szCs w:val="22"/>
              </w:rPr>
              <w:t> Pretax Income</w:t>
            </w:r>
          </w:p>
        </w:tc>
        <w:tc>
          <w:tcPr>
            <w:tcW w:w="1054" w:type="dxa"/>
            <w:tcBorders>
              <w:top w:val="single" w:sz="4" w:space="0" w:color="auto"/>
            </w:tcBorders>
          </w:tcPr>
          <w:p w:rsidR="00D25197" w:rsidRPr="00344D1C" w:rsidRDefault="00D25197" w:rsidP="00D25197">
            <w:pPr>
              <w:spacing w:after="0"/>
              <w:rPr>
                <w:rFonts w:eastAsia="Times New Roman"/>
                <w:color w:val="000000"/>
                <w:sz w:val="22"/>
                <w:szCs w:val="22"/>
              </w:rPr>
            </w:pPr>
          </w:p>
        </w:tc>
        <w:tc>
          <w:tcPr>
            <w:tcW w:w="1066" w:type="dxa"/>
            <w:tcBorders>
              <w:top w:val="single" w:sz="4" w:space="0" w:color="auto"/>
            </w:tcBorders>
            <w:shd w:val="clear" w:color="auto" w:fill="auto"/>
            <w:noWrap/>
            <w:vAlign w:val="bottom"/>
            <w:hideMark/>
          </w:tcPr>
          <w:p w:rsidR="00D25197" w:rsidRPr="00344D1C" w:rsidRDefault="00AF4D6B" w:rsidP="00D25197">
            <w:pPr>
              <w:spacing w:after="0"/>
              <w:rPr>
                <w:rFonts w:eastAsia="Times New Roman"/>
                <w:color w:val="000000"/>
                <w:sz w:val="22"/>
                <w:szCs w:val="22"/>
              </w:rPr>
            </w:pPr>
            <w:r>
              <w:rPr>
                <w:rFonts w:eastAsia="Times New Roman"/>
                <w:color w:val="000000"/>
                <w:sz w:val="22"/>
                <w:szCs w:val="22"/>
              </w:rPr>
              <w:t>(458.7)</w:t>
            </w:r>
          </w:p>
        </w:tc>
        <w:tc>
          <w:tcPr>
            <w:tcW w:w="949" w:type="dxa"/>
            <w:tcBorders>
              <w:top w:val="single" w:sz="4" w:space="0" w:color="auto"/>
            </w:tcBorders>
          </w:tcPr>
          <w:p w:rsidR="00D25197" w:rsidRPr="00344D1C" w:rsidRDefault="00D25197" w:rsidP="00D25197">
            <w:pPr>
              <w:spacing w:after="0"/>
              <w:rPr>
                <w:rFonts w:eastAsia="Times New Roman"/>
                <w:color w:val="000000"/>
                <w:sz w:val="22"/>
                <w:szCs w:val="22"/>
              </w:rPr>
            </w:pPr>
          </w:p>
        </w:tc>
        <w:tc>
          <w:tcPr>
            <w:tcW w:w="953" w:type="dxa"/>
            <w:tcBorders>
              <w:top w:val="single" w:sz="4" w:space="0" w:color="auto"/>
            </w:tcBorders>
            <w:shd w:val="clear" w:color="auto" w:fill="auto"/>
            <w:noWrap/>
            <w:vAlign w:val="bottom"/>
            <w:hideMark/>
          </w:tcPr>
          <w:p w:rsidR="00D25197" w:rsidRPr="00344D1C" w:rsidRDefault="00BC73F6" w:rsidP="00D25197">
            <w:pPr>
              <w:spacing w:after="0"/>
              <w:rPr>
                <w:rFonts w:eastAsia="Times New Roman"/>
                <w:color w:val="000000"/>
                <w:sz w:val="22"/>
                <w:szCs w:val="22"/>
              </w:rPr>
            </w:pPr>
            <w:r>
              <w:rPr>
                <w:rFonts w:eastAsia="Times New Roman"/>
                <w:color w:val="000000"/>
                <w:sz w:val="22"/>
                <w:szCs w:val="22"/>
              </w:rPr>
              <w:t>219.9</w:t>
            </w:r>
          </w:p>
        </w:tc>
      </w:tr>
      <w:tr w:rsidR="003C0A3F" w:rsidTr="00D25197">
        <w:trPr>
          <w:trHeight w:val="300"/>
          <w:jc w:val="center"/>
        </w:trPr>
        <w:tc>
          <w:tcPr>
            <w:tcW w:w="5554" w:type="dxa"/>
            <w:tcBorders>
              <w:bottom w:val="single" w:sz="4" w:space="0" w:color="auto"/>
            </w:tcBorders>
            <w:shd w:val="clear" w:color="auto" w:fill="auto"/>
            <w:noWrap/>
            <w:vAlign w:val="bottom"/>
            <w:hideMark/>
          </w:tcPr>
          <w:p w:rsidR="00D25197" w:rsidRPr="00344D1C" w:rsidRDefault="00AF4D6B" w:rsidP="00D25197">
            <w:pPr>
              <w:spacing w:after="0"/>
              <w:rPr>
                <w:rFonts w:eastAsia="Times New Roman"/>
                <w:color w:val="000000"/>
                <w:sz w:val="22"/>
                <w:szCs w:val="22"/>
              </w:rPr>
            </w:pPr>
            <w:r w:rsidRPr="00344D1C">
              <w:rPr>
                <w:rFonts w:eastAsia="Times New Roman"/>
                <w:color w:val="000000"/>
                <w:sz w:val="22"/>
                <w:szCs w:val="22"/>
              </w:rPr>
              <w:t>Income Tax</w:t>
            </w:r>
          </w:p>
        </w:tc>
        <w:tc>
          <w:tcPr>
            <w:tcW w:w="1054" w:type="dxa"/>
            <w:tcBorders>
              <w:bottom w:val="single" w:sz="4" w:space="0" w:color="auto"/>
            </w:tcBorders>
          </w:tcPr>
          <w:p w:rsidR="00D25197" w:rsidRPr="00344D1C" w:rsidRDefault="00D25197" w:rsidP="00D25197">
            <w:pPr>
              <w:spacing w:after="0"/>
              <w:rPr>
                <w:rFonts w:eastAsia="Times New Roman"/>
                <w:color w:val="000000"/>
                <w:sz w:val="22"/>
                <w:szCs w:val="22"/>
              </w:rPr>
            </w:pPr>
          </w:p>
        </w:tc>
        <w:tc>
          <w:tcPr>
            <w:tcW w:w="1066" w:type="dxa"/>
            <w:tcBorders>
              <w:bottom w:val="single" w:sz="4" w:space="0" w:color="auto"/>
            </w:tcBorders>
            <w:shd w:val="clear" w:color="auto" w:fill="auto"/>
            <w:noWrap/>
            <w:vAlign w:val="bottom"/>
            <w:hideMark/>
          </w:tcPr>
          <w:p w:rsidR="00D25197" w:rsidRPr="00344D1C" w:rsidRDefault="00AF4D6B" w:rsidP="00D25197">
            <w:pPr>
              <w:spacing w:after="0"/>
              <w:rPr>
                <w:rFonts w:eastAsia="Times New Roman"/>
                <w:color w:val="000000"/>
                <w:sz w:val="22"/>
                <w:szCs w:val="22"/>
              </w:rPr>
            </w:pPr>
            <w:r>
              <w:rPr>
                <w:rFonts w:eastAsia="Times New Roman"/>
                <w:color w:val="000000"/>
                <w:sz w:val="22"/>
                <w:szCs w:val="22"/>
              </w:rPr>
              <w:t>162.6</w:t>
            </w:r>
          </w:p>
        </w:tc>
        <w:tc>
          <w:tcPr>
            <w:tcW w:w="949" w:type="dxa"/>
            <w:tcBorders>
              <w:bottom w:val="single" w:sz="4" w:space="0" w:color="auto"/>
            </w:tcBorders>
          </w:tcPr>
          <w:p w:rsidR="00D25197" w:rsidRPr="00344D1C" w:rsidRDefault="00D25197" w:rsidP="00D25197">
            <w:pPr>
              <w:spacing w:after="0"/>
              <w:rPr>
                <w:rFonts w:eastAsia="Times New Roman"/>
                <w:color w:val="000000"/>
                <w:sz w:val="22"/>
                <w:szCs w:val="22"/>
              </w:rPr>
            </w:pPr>
          </w:p>
        </w:tc>
        <w:tc>
          <w:tcPr>
            <w:tcW w:w="953" w:type="dxa"/>
            <w:tcBorders>
              <w:bottom w:val="single" w:sz="4" w:space="0" w:color="auto"/>
            </w:tcBorders>
            <w:shd w:val="clear" w:color="auto" w:fill="auto"/>
            <w:noWrap/>
            <w:vAlign w:val="bottom"/>
            <w:hideMark/>
          </w:tcPr>
          <w:p w:rsidR="00D25197" w:rsidRPr="00344D1C" w:rsidRDefault="00AF4D6B" w:rsidP="00D25197">
            <w:pPr>
              <w:spacing w:after="0"/>
              <w:rPr>
                <w:rFonts w:eastAsia="Times New Roman"/>
                <w:color w:val="000000"/>
                <w:sz w:val="22"/>
                <w:szCs w:val="22"/>
              </w:rPr>
            </w:pPr>
            <w:r>
              <w:rPr>
                <w:rFonts w:eastAsia="Times New Roman"/>
                <w:color w:val="000000"/>
                <w:sz w:val="22"/>
                <w:szCs w:val="22"/>
              </w:rPr>
              <w:t>41.2</w:t>
            </w:r>
          </w:p>
        </w:tc>
      </w:tr>
      <w:tr w:rsidR="003C0A3F" w:rsidTr="00D25197">
        <w:trPr>
          <w:trHeight w:val="300"/>
          <w:jc w:val="center"/>
        </w:trPr>
        <w:tc>
          <w:tcPr>
            <w:tcW w:w="5554" w:type="dxa"/>
            <w:tcBorders>
              <w:top w:val="single" w:sz="4" w:space="0" w:color="auto"/>
            </w:tcBorders>
            <w:shd w:val="clear" w:color="auto" w:fill="auto"/>
            <w:noWrap/>
            <w:vAlign w:val="bottom"/>
            <w:hideMark/>
          </w:tcPr>
          <w:p w:rsidR="00D25197" w:rsidRPr="00344D1C" w:rsidRDefault="00AF4D6B" w:rsidP="00357FDA">
            <w:pPr>
              <w:spacing w:after="0"/>
              <w:rPr>
                <w:rFonts w:eastAsia="Times New Roman"/>
                <w:b/>
                <w:bCs/>
                <w:color w:val="000000"/>
                <w:sz w:val="22"/>
                <w:szCs w:val="22"/>
              </w:rPr>
            </w:pPr>
            <w:r w:rsidRPr="00344D1C">
              <w:rPr>
                <w:rFonts w:eastAsia="Times New Roman"/>
                <w:b/>
                <w:bCs/>
                <w:color w:val="000000"/>
                <w:sz w:val="22"/>
                <w:szCs w:val="22"/>
              </w:rPr>
              <w:t> Net Income</w:t>
            </w:r>
            <w:r>
              <w:rPr>
                <w:rFonts w:eastAsia="Times New Roman"/>
                <w:b/>
                <w:bCs/>
                <w:color w:val="000000"/>
                <w:sz w:val="22"/>
                <w:szCs w:val="22"/>
              </w:rPr>
              <w:t xml:space="preserve"> (Loss)</w:t>
            </w:r>
          </w:p>
        </w:tc>
        <w:tc>
          <w:tcPr>
            <w:tcW w:w="1054" w:type="dxa"/>
            <w:tcBorders>
              <w:top w:val="single" w:sz="4" w:space="0" w:color="auto"/>
            </w:tcBorders>
          </w:tcPr>
          <w:p w:rsidR="00D25197" w:rsidRPr="00344D1C" w:rsidRDefault="00D25197" w:rsidP="00357FDA">
            <w:pPr>
              <w:spacing w:after="0"/>
              <w:rPr>
                <w:rFonts w:eastAsia="Times New Roman"/>
                <w:b/>
                <w:bCs/>
                <w:color w:val="000000"/>
                <w:sz w:val="22"/>
                <w:szCs w:val="22"/>
              </w:rPr>
            </w:pPr>
          </w:p>
        </w:tc>
        <w:tc>
          <w:tcPr>
            <w:tcW w:w="1066" w:type="dxa"/>
            <w:tcBorders>
              <w:top w:val="single" w:sz="4" w:space="0" w:color="auto"/>
            </w:tcBorders>
            <w:shd w:val="clear" w:color="auto" w:fill="auto"/>
            <w:noWrap/>
            <w:vAlign w:val="bottom"/>
            <w:hideMark/>
          </w:tcPr>
          <w:p w:rsidR="00D25197" w:rsidRPr="00344D1C" w:rsidRDefault="00AF4D6B" w:rsidP="00357FDA">
            <w:pPr>
              <w:spacing w:after="0"/>
              <w:rPr>
                <w:rFonts w:eastAsia="Times New Roman"/>
                <w:b/>
                <w:bCs/>
                <w:color w:val="000000"/>
                <w:sz w:val="22"/>
                <w:szCs w:val="22"/>
              </w:rPr>
            </w:pPr>
            <w:r>
              <w:rPr>
                <w:rFonts w:eastAsia="Times New Roman"/>
                <w:b/>
                <w:bCs/>
                <w:color w:val="000000"/>
                <w:sz w:val="22"/>
                <w:szCs w:val="22"/>
              </w:rPr>
              <w:t>(296.1</w:t>
            </w:r>
            <w:r w:rsidRPr="00344D1C">
              <w:rPr>
                <w:rFonts w:eastAsia="Times New Roman"/>
                <w:b/>
                <w:bCs/>
                <w:color w:val="000000"/>
                <w:sz w:val="22"/>
                <w:szCs w:val="22"/>
              </w:rPr>
              <w:t>)</w:t>
            </w:r>
          </w:p>
        </w:tc>
        <w:tc>
          <w:tcPr>
            <w:tcW w:w="949" w:type="dxa"/>
            <w:tcBorders>
              <w:top w:val="single" w:sz="4" w:space="0" w:color="auto"/>
            </w:tcBorders>
          </w:tcPr>
          <w:p w:rsidR="00D25197" w:rsidRPr="00344D1C" w:rsidRDefault="00D25197" w:rsidP="00357FDA">
            <w:pPr>
              <w:keepNext/>
              <w:spacing w:after="0"/>
              <w:rPr>
                <w:rFonts w:eastAsia="Times New Roman"/>
                <w:b/>
                <w:bCs/>
                <w:color w:val="000000"/>
                <w:sz w:val="22"/>
                <w:szCs w:val="22"/>
              </w:rPr>
            </w:pPr>
          </w:p>
        </w:tc>
        <w:tc>
          <w:tcPr>
            <w:tcW w:w="953" w:type="dxa"/>
            <w:tcBorders>
              <w:top w:val="single" w:sz="4" w:space="0" w:color="auto"/>
            </w:tcBorders>
            <w:shd w:val="clear" w:color="auto" w:fill="auto"/>
            <w:noWrap/>
            <w:vAlign w:val="bottom"/>
            <w:hideMark/>
          </w:tcPr>
          <w:p w:rsidR="00D25197" w:rsidRPr="00344D1C" w:rsidRDefault="00AF4D6B" w:rsidP="00357FDA">
            <w:pPr>
              <w:keepNext/>
              <w:spacing w:after="0"/>
              <w:rPr>
                <w:rFonts w:eastAsia="Times New Roman"/>
                <w:b/>
                <w:bCs/>
                <w:color w:val="000000"/>
                <w:sz w:val="22"/>
                <w:szCs w:val="22"/>
              </w:rPr>
            </w:pPr>
            <w:r>
              <w:rPr>
                <w:rFonts w:eastAsia="Times New Roman"/>
                <w:b/>
                <w:bCs/>
                <w:color w:val="000000"/>
                <w:sz w:val="22"/>
                <w:szCs w:val="22"/>
              </w:rPr>
              <w:t>178.7</w:t>
            </w:r>
          </w:p>
        </w:tc>
      </w:tr>
    </w:tbl>
    <w:p w:rsidR="002F6E3A" w:rsidRPr="002F6E3A" w:rsidRDefault="002F6E3A" w:rsidP="00357FDA">
      <w:pPr>
        <w:pStyle w:val="af"/>
        <w:spacing w:line="480" w:lineRule="auto"/>
        <w:jc w:val="both"/>
        <w:rPr>
          <w:b w:val="0"/>
          <w:color w:val="auto"/>
          <w:sz w:val="24"/>
          <w:szCs w:val="24"/>
        </w:rPr>
      </w:pPr>
      <w:r>
        <w:rPr>
          <w:b w:val="0"/>
          <w:color w:val="auto"/>
          <w:sz w:val="24"/>
          <w:szCs w:val="24"/>
        </w:rPr>
        <w:t xml:space="preserve">Table </w:t>
      </w:r>
      <w:r w:rsidR="00357FDA">
        <w:rPr>
          <w:b w:val="0"/>
          <w:color w:val="auto"/>
          <w:sz w:val="24"/>
          <w:szCs w:val="24"/>
        </w:rPr>
        <w:t>1</w:t>
      </w:r>
      <w:r>
        <w:rPr>
          <w:b w:val="0"/>
          <w:color w:val="auto"/>
          <w:sz w:val="24"/>
          <w:szCs w:val="24"/>
        </w:rPr>
        <w:t xml:space="preserve"> </w:t>
      </w:r>
      <w:r w:rsidRPr="002F6E3A">
        <w:rPr>
          <w:b w:val="0"/>
          <w:i/>
          <w:color w:val="auto"/>
          <w:sz w:val="24"/>
          <w:szCs w:val="24"/>
        </w:rPr>
        <w:t>EPC Company’s Income Statement</w:t>
      </w:r>
      <w:r>
        <w:rPr>
          <w:b w:val="0"/>
          <w:i/>
          <w:color w:val="auto"/>
          <w:sz w:val="24"/>
          <w:szCs w:val="24"/>
        </w:rPr>
        <w:t xml:space="preserve"> </w:t>
      </w:r>
      <w:r>
        <w:rPr>
          <w:b w:val="0"/>
          <w:color w:val="auto"/>
          <w:sz w:val="24"/>
          <w:szCs w:val="24"/>
        </w:rPr>
        <w:t>(</w:t>
      </w:r>
      <w:r w:rsidRPr="002F6E3A">
        <w:rPr>
          <w:b w:val="0"/>
          <w:color w:val="auto"/>
          <w:sz w:val="24"/>
          <w:szCs w:val="24"/>
        </w:rPr>
        <w:t>Reuters Fundamentals (New York Stock Exchange)</w:t>
      </w:r>
    </w:p>
    <w:p w:rsidR="00781FE9" w:rsidRDefault="00AF4D6B" w:rsidP="00357FDA">
      <w:pPr>
        <w:ind w:firstLine="720"/>
        <w:jc w:val="both"/>
      </w:pPr>
      <w:r>
        <w:t>The EPC</w:t>
      </w:r>
      <w:r w:rsidR="002F6E3A">
        <w:t xml:space="preserve"> Company had net sales of $2,360 in 2016</w:t>
      </w:r>
      <w:r>
        <w:t xml:space="preserve"> which is a decrease of 1.1% from 2015 fiscal year. However, if the income statement excludes the effect </w:t>
      </w:r>
      <w:r w:rsidR="00E85ECD">
        <w:t xml:space="preserve">of </w:t>
      </w:r>
      <w:r>
        <w:t>currency fluctuations, the net sales for the year 2016</w:t>
      </w:r>
      <w:r w:rsidR="00E85ECD">
        <w:t xml:space="preserve"> can be considered as increased</w:t>
      </w:r>
      <w:r>
        <w:t xml:space="preserve"> by 1.4% compared to the fiscal year 2015. On the other hand, the </w:t>
      </w:r>
      <w:r w:rsidR="00781FE9">
        <w:t>2016</w:t>
      </w:r>
      <w:r>
        <w:t xml:space="preserve"> fiscal year gross </w:t>
      </w:r>
      <w:r w:rsidR="00781FE9">
        <w:t>incomet</w:t>
      </w:r>
      <w:r>
        <w:t xml:space="preserve"> is $</w:t>
      </w:r>
      <w:r w:rsidR="00781FE9">
        <w:t>1,160 mln</w:t>
      </w:r>
      <w:r>
        <w:t xml:space="preserve"> compared to the prior year $1,1</w:t>
      </w:r>
      <w:r w:rsidR="00781FE9">
        <w:t>90.0 mln</w:t>
      </w:r>
      <w:r>
        <w:t xml:space="preserve">. The decline in gross profit was as a result of lower net sales and also high production costs. </w:t>
      </w:r>
    </w:p>
    <w:p w:rsidR="00781FE9" w:rsidRDefault="00781FE9" w:rsidP="00781FE9">
      <w:pPr>
        <w:ind w:firstLine="720"/>
        <w:jc w:val="both"/>
      </w:pPr>
    </w:p>
    <w:p w:rsidR="00D25197" w:rsidRPr="00781FE9" w:rsidRDefault="00AF4D6B" w:rsidP="00781FE9">
      <w:pPr>
        <w:ind w:firstLine="720"/>
        <w:jc w:val="center"/>
      </w:pPr>
      <w:r w:rsidRPr="002A4CAB">
        <w:rPr>
          <w:b/>
        </w:rPr>
        <w:lastRenderedPageBreak/>
        <w:t>Profitability Financial Ratios</w:t>
      </w:r>
    </w:p>
    <w:p w:rsidR="00D25197" w:rsidRPr="00781FE9" w:rsidRDefault="00AF4D6B" w:rsidP="00781FE9">
      <w:pPr>
        <w:rPr>
          <w:b/>
        </w:rPr>
      </w:pPr>
      <w:r w:rsidRPr="00781FE9">
        <w:rPr>
          <w:b/>
        </w:rPr>
        <w:t>Contribution Margin Ratio</w:t>
      </w:r>
    </w:p>
    <w:p w:rsidR="00D25197" w:rsidRDefault="00AF4D6B" w:rsidP="00D25197">
      <w:pPr>
        <w:ind w:firstLine="720"/>
      </w:pPr>
      <w:r>
        <w:t xml:space="preserve">The CM ratio measures the impact of changes in sales to profit. Also, it is used as the standard tool in budgeting to estimate the decrease in profits in case of sales decline. It expresses contribution margin in terms of sales. </w:t>
      </w:r>
    </w:p>
    <w:p w:rsidR="00D25197" w:rsidRPr="00357FDA" w:rsidRDefault="00AF4D6B" w:rsidP="00D25197">
      <w:pPr>
        <w:ind w:firstLine="720"/>
        <w:jc w:val="center"/>
        <w:rPr>
          <w:b/>
        </w:rPr>
      </w:pPr>
      <w:r w:rsidRPr="00357FDA">
        <w:rPr>
          <w:b/>
        </w:rPr>
        <w:t>EPC Contribution Margin Ratio</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0"/>
        <w:gridCol w:w="2420"/>
        <w:gridCol w:w="2420"/>
      </w:tblGrid>
      <w:tr w:rsidR="003C0A3F" w:rsidTr="00D25197">
        <w:trPr>
          <w:trHeight w:val="281"/>
          <w:jc w:val="center"/>
        </w:trPr>
        <w:tc>
          <w:tcPr>
            <w:tcW w:w="2420" w:type="dxa"/>
            <w:tcBorders>
              <w:top w:val="single" w:sz="4" w:space="0" w:color="auto"/>
              <w:bottom w:val="single" w:sz="4" w:space="0" w:color="auto"/>
            </w:tcBorders>
          </w:tcPr>
          <w:p w:rsidR="00D25197" w:rsidRPr="00DD5C7C" w:rsidRDefault="00D25197" w:rsidP="00D25197">
            <w:pPr>
              <w:rPr>
                <w:b/>
              </w:rPr>
            </w:pPr>
          </w:p>
        </w:tc>
        <w:tc>
          <w:tcPr>
            <w:tcW w:w="2420" w:type="dxa"/>
            <w:tcBorders>
              <w:top w:val="single" w:sz="4" w:space="0" w:color="auto"/>
              <w:bottom w:val="single" w:sz="4" w:space="0" w:color="auto"/>
            </w:tcBorders>
          </w:tcPr>
          <w:p w:rsidR="00D25197" w:rsidRPr="001375C7" w:rsidRDefault="00AF4D6B" w:rsidP="00D25197">
            <w:pPr>
              <w:rPr>
                <w:b/>
              </w:rPr>
            </w:pPr>
            <w:r w:rsidRPr="001375C7">
              <w:rPr>
                <w:b/>
              </w:rPr>
              <w:t>2015</w:t>
            </w:r>
          </w:p>
        </w:tc>
        <w:tc>
          <w:tcPr>
            <w:tcW w:w="2420" w:type="dxa"/>
            <w:tcBorders>
              <w:top w:val="single" w:sz="4" w:space="0" w:color="auto"/>
              <w:bottom w:val="single" w:sz="4" w:space="0" w:color="auto"/>
            </w:tcBorders>
          </w:tcPr>
          <w:p w:rsidR="00D25197" w:rsidRPr="001375C7" w:rsidRDefault="00AF4D6B" w:rsidP="00D25197">
            <w:pPr>
              <w:rPr>
                <w:b/>
              </w:rPr>
            </w:pPr>
            <w:r w:rsidRPr="001375C7">
              <w:rPr>
                <w:b/>
              </w:rPr>
              <w:t>2016</w:t>
            </w:r>
          </w:p>
        </w:tc>
      </w:tr>
      <w:tr w:rsidR="003C0A3F" w:rsidTr="00D25197">
        <w:trPr>
          <w:trHeight w:val="281"/>
          <w:jc w:val="center"/>
        </w:trPr>
        <w:tc>
          <w:tcPr>
            <w:tcW w:w="2420" w:type="dxa"/>
            <w:tcBorders>
              <w:top w:val="single" w:sz="4" w:space="0" w:color="auto"/>
            </w:tcBorders>
          </w:tcPr>
          <w:p w:rsidR="00D25197" w:rsidRPr="00DD5C7C" w:rsidRDefault="00AF4D6B" w:rsidP="00D25197">
            <w:pPr>
              <w:rPr>
                <w:b/>
              </w:rPr>
            </w:pPr>
            <w:r w:rsidRPr="00DD5C7C">
              <w:rPr>
                <w:b/>
              </w:rPr>
              <w:t>Contribution Margin</w:t>
            </w:r>
          </w:p>
        </w:tc>
        <w:tc>
          <w:tcPr>
            <w:tcW w:w="2420" w:type="dxa"/>
            <w:tcBorders>
              <w:top w:val="single" w:sz="4" w:space="0" w:color="auto"/>
            </w:tcBorders>
            <w:vAlign w:val="bottom"/>
          </w:tcPr>
          <w:p w:rsidR="00D25197" w:rsidRDefault="00AF4D6B" w:rsidP="00D25197">
            <w:r>
              <w:rPr>
                <w:rFonts w:eastAsia="Times New Roman"/>
                <w:color w:val="000000"/>
                <w:sz w:val="22"/>
                <w:szCs w:val="22"/>
              </w:rPr>
              <w:t>2.42</w:t>
            </w:r>
          </w:p>
        </w:tc>
        <w:tc>
          <w:tcPr>
            <w:tcW w:w="2420" w:type="dxa"/>
            <w:tcBorders>
              <w:top w:val="single" w:sz="4" w:space="0" w:color="auto"/>
            </w:tcBorders>
            <w:vAlign w:val="bottom"/>
          </w:tcPr>
          <w:p w:rsidR="00D25197" w:rsidRDefault="00AF4D6B" w:rsidP="00D25197">
            <w:r>
              <w:rPr>
                <w:rFonts w:eastAsia="Times New Roman"/>
                <w:color w:val="000000"/>
                <w:sz w:val="22"/>
                <w:szCs w:val="22"/>
              </w:rPr>
              <w:t>2.36</w:t>
            </w:r>
          </w:p>
        </w:tc>
      </w:tr>
      <w:tr w:rsidR="003C0A3F" w:rsidTr="00D25197">
        <w:trPr>
          <w:trHeight w:val="281"/>
          <w:jc w:val="center"/>
        </w:trPr>
        <w:tc>
          <w:tcPr>
            <w:tcW w:w="2420" w:type="dxa"/>
            <w:tcBorders>
              <w:bottom w:val="single" w:sz="4" w:space="0" w:color="auto"/>
            </w:tcBorders>
          </w:tcPr>
          <w:p w:rsidR="00D25197" w:rsidRPr="00DD5C7C" w:rsidRDefault="00AF4D6B" w:rsidP="00D25197">
            <w:pPr>
              <w:rPr>
                <w:b/>
              </w:rPr>
            </w:pPr>
            <w:r w:rsidRPr="00DD5C7C">
              <w:rPr>
                <w:b/>
              </w:rPr>
              <w:t>Sales</w:t>
            </w:r>
          </w:p>
        </w:tc>
        <w:tc>
          <w:tcPr>
            <w:tcW w:w="2420" w:type="dxa"/>
            <w:tcBorders>
              <w:bottom w:val="single" w:sz="4" w:space="0" w:color="auto"/>
            </w:tcBorders>
            <w:vAlign w:val="bottom"/>
          </w:tcPr>
          <w:p w:rsidR="00D25197" w:rsidRPr="00093524" w:rsidRDefault="00AF4D6B" w:rsidP="00D25197">
            <w:r>
              <w:rPr>
                <w:rFonts w:eastAsia="Times New Roman"/>
                <w:bCs/>
                <w:color w:val="000000"/>
                <w:sz w:val="22"/>
                <w:szCs w:val="22"/>
              </w:rPr>
              <w:t>1.19</w:t>
            </w:r>
          </w:p>
        </w:tc>
        <w:tc>
          <w:tcPr>
            <w:tcW w:w="2420" w:type="dxa"/>
            <w:tcBorders>
              <w:bottom w:val="single" w:sz="4" w:space="0" w:color="auto"/>
            </w:tcBorders>
            <w:vAlign w:val="bottom"/>
          </w:tcPr>
          <w:p w:rsidR="00D25197" w:rsidRPr="00093524" w:rsidRDefault="00AF4D6B" w:rsidP="00D25197">
            <w:r>
              <w:rPr>
                <w:rFonts w:eastAsia="Times New Roman"/>
                <w:bCs/>
                <w:color w:val="000000"/>
                <w:sz w:val="22"/>
                <w:szCs w:val="22"/>
              </w:rPr>
              <w:t>1.16</w:t>
            </w:r>
          </w:p>
        </w:tc>
      </w:tr>
      <w:tr w:rsidR="003C0A3F" w:rsidTr="00D25197">
        <w:trPr>
          <w:trHeight w:val="296"/>
          <w:jc w:val="center"/>
        </w:trPr>
        <w:tc>
          <w:tcPr>
            <w:tcW w:w="2420" w:type="dxa"/>
            <w:tcBorders>
              <w:top w:val="single" w:sz="4" w:space="0" w:color="auto"/>
            </w:tcBorders>
          </w:tcPr>
          <w:p w:rsidR="00D25197" w:rsidRPr="00DD5C7C" w:rsidRDefault="00AF4D6B" w:rsidP="00357FDA">
            <w:pPr>
              <w:spacing w:line="480" w:lineRule="auto"/>
              <w:rPr>
                <w:b/>
              </w:rPr>
            </w:pPr>
            <w:r w:rsidRPr="00DD5C7C">
              <w:rPr>
                <w:b/>
              </w:rPr>
              <w:t>CM Ratio</w:t>
            </w:r>
          </w:p>
        </w:tc>
        <w:tc>
          <w:tcPr>
            <w:tcW w:w="2420" w:type="dxa"/>
            <w:tcBorders>
              <w:top w:val="single" w:sz="4" w:space="0" w:color="auto"/>
            </w:tcBorders>
          </w:tcPr>
          <w:p w:rsidR="00D25197" w:rsidRDefault="00AF4D6B" w:rsidP="00357FDA">
            <w:pPr>
              <w:spacing w:line="480" w:lineRule="auto"/>
            </w:pPr>
            <w:r>
              <w:t>2.03</w:t>
            </w:r>
          </w:p>
        </w:tc>
        <w:tc>
          <w:tcPr>
            <w:tcW w:w="2420" w:type="dxa"/>
            <w:tcBorders>
              <w:top w:val="single" w:sz="4" w:space="0" w:color="auto"/>
            </w:tcBorders>
          </w:tcPr>
          <w:p w:rsidR="00D25197" w:rsidRDefault="00AF4D6B" w:rsidP="00357FDA">
            <w:pPr>
              <w:keepNext/>
              <w:spacing w:line="480" w:lineRule="auto"/>
            </w:pPr>
            <w:r>
              <w:t>2.03</w:t>
            </w:r>
          </w:p>
        </w:tc>
      </w:tr>
    </w:tbl>
    <w:p w:rsidR="00D25197" w:rsidRPr="00357FDA" w:rsidRDefault="00AF4D6B" w:rsidP="00357FDA">
      <w:pPr>
        <w:pStyle w:val="af"/>
        <w:spacing w:line="480" w:lineRule="auto"/>
        <w:rPr>
          <w:b w:val="0"/>
          <w:color w:val="auto"/>
          <w:sz w:val="24"/>
          <w:szCs w:val="24"/>
        </w:rPr>
      </w:pPr>
      <w:r w:rsidRPr="00357FDA">
        <w:rPr>
          <w:b w:val="0"/>
          <w:color w:val="auto"/>
          <w:sz w:val="24"/>
          <w:szCs w:val="24"/>
        </w:rPr>
        <w:t xml:space="preserve">Table </w:t>
      </w:r>
      <w:r w:rsidR="00357FDA">
        <w:rPr>
          <w:b w:val="0"/>
          <w:color w:val="auto"/>
          <w:sz w:val="24"/>
          <w:szCs w:val="24"/>
        </w:rPr>
        <w:t>2</w:t>
      </w:r>
      <w:r w:rsidRPr="00357FDA">
        <w:rPr>
          <w:b w:val="0"/>
          <w:color w:val="auto"/>
          <w:sz w:val="24"/>
          <w:szCs w:val="24"/>
        </w:rPr>
        <w:t xml:space="preserve"> </w:t>
      </w:r>
      <w:r w:rsidRPr="00357FDA">
        <w:rPr>
          <w:b w:val="0"/>
          <w:i/>
          <w:color w:val="auto"/>
          <w:sz w:val="24"/>
          <w:szCs w:val="24"/>
        </w:rPr>
        <w:t>EPC Contribution Margin Ratio</w:t>
      </w:r>
    </w:p>
    <w:p w:rsidR="00D25197" w:rsidRPr="00357FDA" w:rsidRDefault="00AF4D6B" w:rsidP="00D25197">
      <w:pPr>
        <w:ind w:firstLine="720"/>
        <w:jc w:val="center"/>
        <w:rPr>
          <w:b/>
        </w:rPr>
      </w:pPr>
      <w:r w:rsidRPr="00357FDA">
        <w:rPr>
          <w:b/>
        </w:rPr>
        <w:t>P&amp;G Contribution Margin Ratio</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0"/>
        <w:gridCol w:w="2420"/>
        <w:gridCol w:w="2420"/>
      </w:tblGrid>
      <w:tr w:rsidR="003C0A3F" w:rsidTr="00D25197">
        <w:trPr>
          <w:trHeight w:val="281"/>
          <w:jc w:val="center"/>
        </w:trPr>
        <w:tc>
          <w:tcPr>
            <w:tcW w:w="2420" w:type="dxa"/>
            <w:tcBorders>
              <w:top w:val="single" w:sz="4" w:space="0" w:color="auto"/>
              <w:bottom w:val="single" w:sz="4" w:space="0" w:color="auto"/>
            </w:tcBorders>
          </w:tcPr>
          <w:p w:rsidR="00D25197" w:rsidRPr="00DD5C7C" w:rsidRDefault="00D25197" w:rsidP="00D25197">
            <w:pPr>
              <w:rPr>
                <w:b/>
              </w:rPr>
            </w:pPr>
          </w:p>
        </w:tc>
        <w:tc>
          <w:tcPr>
            <w:tcW w:w="2420" w:type="dxa"/>
            <w:tcBorders>
              <w:top w:val="single" w:sz="4" w:space="0" w:color="auto"/>
              <w:bottom w:val="single" w:sz="4" w:space="0" w:color="auto"/>
            </w:tcBorders>
          </w:tcPr>
          <w:p w:rsidR="00D25197" w:rsidRPr="001375C7" w:rsidRDefault="00AF4D6B" w:rsidP="00D25197">
            <w:pPr>
              <w:rPr>
                <w:b/>
              </w:rPr>
            </w:pPr>
            <w:r w:rsidRPr="001375C7">
              <w:rPr>
                <w:b/>
              </w:rPr>
              <w:t>2015</w:t>
            </w:r>
          </w:p>
        </w:tc>
        <w:tc>
          <w:tcPr>
            <w:tcW w:w="2420" w:type="dxa"/>
            <w:tcBorders>
              <w:top w:val="single" w:sz="4" w:space="0" w:color="auto"/>
              <w:bottom w:val="single" w:sz="4" w:space="0" w:color="auto"/>
            </w:tcBorders>
          </w:tcPr>
          <w:p w:rsidR="00D25197" w:rsidRPr="001375C7" w:rsidRDefault="00AF4D6B" w:rsidP="00D25197">
            <w:pPr>
              <w:rPr>
                <w:b/>
              </w:rPr>
            </w:pPr>
            <w:r w:rsidRPr="001375C7">
              <w:rPr>
                <w:b/>
              </w:rPr>
              <w:t>2016</w:t>
            </w:r>
          </w:p>
        </w:tc>
      </w:tr>
      <w:tr w:rsidR="003C0A3F" w:rsidTr="00D25197">
        <w:trPr>
          <w:trHeight w:val="281"/>
          <w:jc w:val="center"/>
        </w:trPr>
        <w:tc>
          <w:tcPr>
            <w:tcW w:w="2420" w:type="dxa"/>
            <w:tcBorders>
              <w:top w:val="single" w:sz="4" w:space="0" w:color="auto"/>
            </w:tcBorders>
          </w:tcPr>
          <w:p w:rsidR="00D25197" w:rsidRPr="00DD5C7C" w:rsidRDefault="00AF4D6B" w:rsidP="00D25197">
            <w:pPr>
              <w:rPr>
                <w:b/>
              </w:rPr>
            </w:pPr>
            <w:r w:rsidRPr="00DD5C7C">
              <w:rPr>
                <w:b/>
              </w:rPr>
              <w:t>Contribution Margin</w:t>
            </w:r>
          </w:p>
        </w:tc>
        <w:tc>
          <w:tcPr>
            <w:tcW w:w="2420" w:type="dxa"/>
            <w:tcBorders>
              <w:top w:val="single" w:sz="4" w:space="0" w:color="auto"/>
            </w:tcBorders>
          </w:tcPr>
          <w:p w:rsidR="00D25197" w:rsidRDefault="00AF4D6B" w:rsidP="00D25197">
            <w:r>
              <w:t>13,441</w:t>
            </w:r>
          </w:p>
        </w:tc>
        <w:tc>
          <w:tcPr>
            <w:tcW w:w="2420" w:type="dxa"/>
            <w:tcBorders>
              <w:top w:val="single" w:sz="4" w:space="0" w:color="auto"/>
            </w:tcBorders>
          </w:tcPr>
          <w:p w:rsidR="00D25197" w:rsidRDefault="00AF4D6B" w:rsidP="00D25197">
            <w:r>
              <w:t xml:space="preserve">       11,049</w:t>
            </w:r>
          </w:p>
        </w:tc>
      </w:tr>
      <w:tr w:rsidR="003C0A3F" w:rsidTr="00D25197">
        <w:trPr>
          <w:trHeight w:val="281"/>
          <w:jc w:val="center"/>
        </w:trPr>
        <w:tc>
          <w:tcPr>
            <w:tcW w:w="2420" w:type="dxa"/>
            <w:tcBorders>
              <w:bottom w:val="single" w:sz="4" w:space="0" w:color="auto"/>
            </w:tcBorders>
          </w:tcPr>
          <w:p w:rsidR="00D25197" w:rsidRPr="00DD5C7C" w:rsidRDefault="00AF4D6B" w:rsidP="00D25197">
            <w:pPr>
              <w:rPr>
                <w:b/>
              </w:rPr>
            </w:pPr>
            <w:r w:rsidRPr="00DD5C7C">
              <w:rPr>
                <w:b/>
              </w:rPr>
              <w:t>Sales</w:t>
            </w:r>
          </w:p>
        </w:tc>
        <w:tc>
          <w:tcPr>
            <w:tcW w:w="2420" w:type="dxa"/>
            <w:tcBorders>
              <w:bottom w:val="single" w:sz="4" w:space="0" w:color="auto"/>
            </w:tcBorders>
          </w:tcPr>
          <w:p w:rsidR="00D25197" w:rsidRDefault="00AF4D6B" w:rsidP="00D25197">
            <w:r>
              <w:t>65,299</w:t>
            </w:r>
          </w:p>
        </w:tc>
        <w:tc>
          <w:tcPr>
            <w:tcW w:w="2420" w:type="dxa"/>
            <w:tcBorders>
              <w:bottom w:val="single" w:sz="4" w:space="0" w:color="auto"/>
            </w:tcBorders>
          </w:tcPr>
          <w:p w:rsidR="00D25197" w:rsidRDefault="00AF4D6B" w:rsidP="00D25197">
            <w:r w:rsidRPr="001C5542">
              <w:t xml:space="preserve">   </w:t>
            </w:r>
            <w:r>
              <w:t xml:space="preserve">    70,749</w:t>
            </w:r>
          </w:p>
        </w:tc>
      </w:tr>
      <w:tr w:rsidR="003C0A3F" w:rsidTr="00D25197">
        <w:trPr>
          <w:trHeight w:val="296"/>
          <w:jc w:val="center"/>
        </w:trPr>
        <w:tc>
          <w:tcPr>
            <w:tcW w:w="2420" w:type="dxa"/>
            <w:tcBorders>
              <w:top w:val="single" w:sz="4" w:space="0" w:color="auto"/>
            </w:tcBorders>
          </w:tcPr>
          <w:p w:rsidR="00D25197" w:rsidRPr="00DD5C7C" w:rsidRDefault="00AF4D6B" w:rsidP="00357FDA">
            <w:pPr>
              <w:spacing w:line="480" w:lineRule="auto"/>
              <w:rPr>
                <w:b/>
              </w:rPr>
            </w:pPr>
            <w:r w:rsidRPr="00DD5C7C">
              <w:rPr>
                <w:b/>
              </w:rPr>
              <w:t>CM Ratio</w:t>
            </w:r>
          </w:p>
        </w:tc>
        <w:tc>
          <w:tcPr>
            <w:tcW w:w="2420" w:type="dxa"/>
            <w:tcBorders>
              <w:top w:val="single" w:sz="4" w:space="0" w:color="auto"/>
            </w:tcBorders>
          </w:tcPr>
          <w:p w:rsidR="00D25197" w:rsidRDefault="00AF4D6B" w:rsidP="00357FDA">
            <w:pPr>
              <w:spacing w:line="480" w:lineRule="auto"/>
            </w:pPr>
            <w:r>
              <w:t>0.21</w:t>
            </w:r>
            <w:r w:rsidR="00242725">
              <w:t>0</w:t>
            </w:r>
          </w:p>
        </w:tc>
        <w:tc>
          <w:tcPr>
            <w:tcW w:w="2420" w:type="dxa"/>
            <w:tcBorders>
              <w:top w:val="single" w:sz="4" w:space="0" w:color="auto"/>
            </w:tcBorders>
          </w:tcPr>
          <w:p w:rsidR="00D25197" w:rsidRDefault="00AF4D6B" w:rsidP="00357FDA">
            <w:pPr>
              <w:keepNext/>
              <w:spacing w:line="480" w:lineRule="auto"/>
            </w:pPr>
            <w:r>
              <w:t xml:space="preserve">        0.16</w:t>
            </w:r>
            <w:r w:rsidR="00242725">
              <w:t>0</w:t>
            </w:r>
          </w:p>
        </w:tc>
      </w:tr>
    </w:tbl>
    <w:p w:rsidR="00D25197" w:rsidRPr="00357FDA" w:rsidRDefault="00AF4D6B" w:rsidP="00357FDA">
      <w:pPr>
        <w:pStyle w:val="af"/>
        <w:spacing w:line="480" w:lineRule="auto"/>
        <w:rPr>
          <w:b w:val="0"/>
          <w:sz w:val="24"/>
          <w:szCs w:val="24"/>
        </w:rPr>
      </w:pPr>
      <w:r w:rsidRPr="00357FDA">
        <w:rPr>
          <w:b w:val="0"/>
          <w:color w:val="auto"/>
          <w:sz w:val="24"/>
          <w:szCs w:val="24"/>
        </w:rPr>
        <w:t xml:space="preserve">Table </w:t>
      </w:r>
      <w:r w:rsidR="00357FDA">
        <w:rPr>
          <w:b w:val="0"/>
          <w:color w:val="auto"/>
          <w:sz w:val="24"/>
          <w:szCs w:val="24"/>
        </w:rPr>
        <w:t xml:space="preserve">3 </w:t>
      </w:r>
      <w:r w:rsidRPr="00357FDA">
        <w:rPr>
          <w:b w:val="0"/>
          <w:i/>
          <w:color w:val="auto"/>
          <w:sz w:val="24"/>
          <w:szCs w:val="24"/>
        </w:rPr>
        <w:t>P&amp;G Contribution Margin Ratio</w:t>
      </w:r>
    </w:p>
    <w:p w:rsidR="00DA03C9" w:rsidRDefault="00AF4D6B" w:rsidP="00DA03C9">
      <w:pPr>
        <w:ind w:firstLine="720"/>
      </w:pPr>
      <w:r>
        <w:t xml:space="preserve">For a company that is performing better, the CM ratio should be relatively high. The </w:t>
      </w:r>
      <w:r w:rsidRPr="00732382">
        <w:t xml:space="preserve">EPC </w:t>
      </w:r>
      <w:r>
        <w:t xml:space="preserve">Company has maintained a constant </w:t>
      </w:r>
      <w:r w:rsidRPr="00732382">
        <w:t>Contribution Margin Ratio</w:t>
      </w:r>
      <w:r>
        <w:t xml:space="preserve"> for the years 2015 and 2016. Since the CM ratio is bigger than 1, it shows the ability of the EPC company to cover administration overhead and fixed costs. </w:t>
      </w:r>
    </w:p>
    <w:p w:rsidR="00DA03C9" w:rsidRDefault="00DA03C9" w:rsidP="00DA03C9">
      <w:pPr>
        <w:ind w:firstLine="720"/>
      </w:pPr>
    </w:p>
    <w:p w:rsidR="00DA03C9" w:rsidRDefault="00DA03C9" w:rsidP="00DA03C9">
      <w:pPr>
        <w:ind w:firstLine="720"/>
      </w:pPr>
    </w:p>
    <w:p w:rsidR="00D25197" w:rsidRPr="00DA03C9" w:rsidRDefault="00AF4D6B" w:rsidP="00DA03C9">
      <w:pPr>
        <w:rPr>
          <w:b/>
        </w:rPr>
      </w:pPr>
      <w:r w:rsidRPr="00DA03C9">
        <w:rPr>
          <w:b/>
        </w:rPr>
        <w:lastRenderedPageBreak/>
        <w:t>Operating Margin Ratio</w:t>
      </w:r>
    </w:p>
    <w:p w:rsidR="00D25197" w:rsidRDefault="00AF4D6B" w:rsidP="00D25197">
      <w:pPr>
        <w:ind w:firstLine="720"/>
      </w:pPr>
      <w:r>
        <w:t xml:space="preserve"> OM ratio is a profitability ratio that expresses operating income in terms </w:t>
      </w:r>
      <w:r w:rsidR="00DA03C9">
        <w:t xml:space="preserve">of </w:t>
      </w:r>
      <w:r>
        <w:t>total revenue. In other words, operating margin ratio demonstrates the proportion of revenue available</w:t>
      </w:r>
      <w:r w:rsidR="00DA03C9">
        <w:t xml:space="preserve"> to</w:t>
      </w:r>
      <w:r>
        <w:t xml:space="preserve"> cover non-operating cost. OM ratio is calculated as operating income divided by net sales (total revenue). </w:t>
      </w:r>
    </w:p>
    <w:p w:rsidR="00D25197" w:rsidRPr="00DA03C9" w:rsidRDefault="00AF4D6B" w:rsidP="00D25197">
      <w:pPr>
        <w:jc w:val="center"/>
        <w:rPr>
          <w:b/>
        </w:rPr>
      </w:pPr>
      <w:r w:rsidRPr="00DA03C9">
        <w:rPr>
          <w:b/>
        </w:rPr>
        <w:t>EPC Operating Margin Ratio</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5"/>
        <w:gridCol w:w="2185"/>
        <w:gridCol w:w="2185"/>
      </w:tblGrid>
      <w:tr w:rsidR="003C0A3F" w:rsidTr="00D25197">
        <w:trPr>
          <w:trHeight w:val="256"/>
          <w:jc w:val="center"/>
        </w:trPr>
        <w:tc>
          <w:tcPr>
            <w:tcW w:w="2185" w:type="dxa"/>
            <w:tcBorders>
              <w:top w:val="single" w:sz="4" w:space="0" w:color="auto"/>
              <w:bottom w:val="single" w:sz="4" w:space="0" w:color="auto"/>
            </w:tcBorders>
          </w:tcPr>
          <w:p w:rsidR="00D25197" w:rsidRPr="005458F5" w:rsidRDefault="00D25197" w:rsidP="00D25197">
            <w:pPr>
              <w:rPr>
                <w:b/>
              </w:rPr>
            </w:pPr>
          </w:p>
        </w:tc>
        <w:tc>
          <w:tcPr>
            <w:tcW w:w="2185" w:type="dxa"/>
            <w:tcBorders>
              <w:top w:val="single" w:sz="4" w:space="0" w:color="auto"/>
              <w:bottom w:val="single" w:sz="4" w:space="0" w:color="auto"/>
            </w:tcBorders>
          </w:tcPr>
          <w:p w:rsidR="00D25197" w:rsidRPr="005458F5" w:rsidRDefault="00AF4D6B" w:rsidP="00D25197">
            <w:pPr>
              <w:rPr>
                <w:b/>
              </w:rPr>
            </w:pPr>
            <w:r w:rsidRPr="005458F5">
              <w:rPr>
                <w:b/>
              </w:rPr>
              <w:t>2015</w:t>
            </w:r>
          </w:p>
        </w:tc>
        <w:tc>
          <w:tcPr>
            <w:tcW w:w="2185" w:type="dxa"/>
            <w:tcBorders>
              <w:top w:val="single" w:sz="4" w:space="0" w:color="auto"/>
              <w:bottom w:val="single" w:sz="4" w:space="0" w:color="auto"/>
            </w:tcBorders>
          </w:tcPr>
          <w:p w:rsidR="00D25197" w:rsidRPr="005458F5" w:rsidRDefault="00AF4D6B" w:rsidP="00D25197">
            <w:pPr>
              <w:rPr>
                <w:b/>
              </w:rPr>
            </w:pPr>
            <w:r w:rsidRPr="005458F5">
              <w:rPr>
                <w:b/>
              </w:rPr>
              <w:t>2016</w:t>
            </w:r>
          </w:p>
        </w:tc>
      </w:tr>
      <w:tr w:rsidR="003C0A3F" w:rsidTr="00D25197">
        <w:trPr>
          <w:trHeight w:val="256"/>
          <w:jc w:val="center"/>
        </w:trPr>
        <w:tc>
          <w:tcPr>
            <w:tcW w:w="2185" w:type="dxa"/>
            <w:tcBorders>
              <w:top w:val="single" w:sz="4" w:space="0" w:color="auto"/>
            </w:tcBorders>
          </w:tcPr>
          <w:p w:rsidR="00D25197" w:rsidRPr="00B94C7C" w:rsidRDefault="00AF4D6B" w:rsidP="00D25197">
            <w:pPr>
              <w:rPr>
                <w:b/>
              </w:rPr>
            </w:pPr>
            <w:r w:rsidRPr="00B94C7C">
              <w:rPr>
                <w:b/>
              </w:rPr>
              <w:t>Operating Income</w:t>
            </w:r>
          </w:p>
        </w:tc>
        <w:tc>
          <w:tcPr>
            <w:tcW w:w="2185" w:type="dxa"/>
            <w:tcBorders>
              <w:top w:val="single" w:sz="4" w:space="0" w:color="auto"/>
            </w:tcBorders>
            <w:vAlign w:val="bottom"/>
          </w:tcPr>
          <w:p w:rsidR="00D25197" w:rsidRDefault="00AF4D6B" w:rsidP="00D25197">
            <w:r>
              <w:rPr>
                <w:rFonts w:eastAsia="Times New Roman"/>
                <w:color w:val="000000"/>
                <w:sz w:val="22"/>
                <w:szCs w:val="22"/>
              </w:rPr>
              <w:t>(12.1</w:t>
            </w:r>
            <w:r w:rsidR="00242725">
              <w:rPr>
                <w:rFonts w:eastAsia="Times New Roman"/>
                <w:color w:val="000000"/>
                <w:sz w:val="22"/>
                <w:szCs w:val="22"/>
              </w:rPr>
              <w:t>0</w:t>
            </w:r>
            <w:r w:rsidRPr="00344D1C">
              <w:rPr>
                <w:rFonts w:eastAsia="Times New Roman"/>
                <w:color w:val="000000"/>
                <w:sz w:val="22"/>
                <w:szCs w:val="22"/>
              </w:rPr>
              <w:t>)</w:t>
            </w:r>
          </w:p>
        </w:tc>
        <w:tc>
          <w:tcPr>
            <w:tcW w:w="2185" w:type="dxa"/>
            <w:tcBorders>
              <w:top w:val="single" w:sz="4" w:space="0" w:color="auto"/>
            </w:tcBorders>
            <w:vAlign w:val="bottom"/>
          </w:tcPr>
          <w:p w:rsidR="00D25197" w:rsidRDefault="00AF4D6B" w:rsidP="00D25197">
            <w:r>
              <w:rPr>
                <w:rFonts w:eastAsia="Times New Roman"/>
                <w:color w:val="000000"/>
                <w:sz w:val="22"/>
                <w:szCs w:val="22"/>
              </w:rPr>
              <w:t>6.9</w:t>
            </w:r>
            <w:r w:rsidR="00242725">
              <w:rPr>
                <w:rFonts w:eastAsia="Times New Roman"/>
                <w:color w:val="000000"/>
                <w:sz w:val="22"/>
                <w:szCs w:val="22"/>
              </w:rPr>
              <w:t>0</w:t>
            </w:r>
          </w:p>
        </w:tc>
      </w:tr>
      <w:tr w:rsidR="003C0A3F" w:rsidTr="00D25197">
        <w:trPr>
          <w:trHeight w:val="256"/>
          <w:jc w:val="center"/>
        </w:trPr>
        <w:tc>
          <w:tcPr>
            <w:tcW w:w="2185" w:type="dxa"/>
            <w:tcBorders>
              <w:bottom w:val="single" w:sz="4" w:space="0" w:color="auto"/>
            </w:tcBorders>
          </w:tcPr>
          <w:p w:rsidR="00D25197" w:rsidRPr="00B94C7C" w:rsidRDefault="00AF4D6B" w:rsidP="00D25197">
            <w:pPr>
              <w:rPr>
                <w:b/>
              </w:rPr>
            </w:pPr>
            <w:r w:rsidRPr="00B94C7C">
              <w:rPr>
                <w:b/>
              </w:rPr>
              <w:t>Net Sales</w:t>
            </w:r>
          </w:p>
        </w:tc>
        <w:tc>
          <w:tcPr>
            <w:tcW w:w="2185" w:type="dxa"/>
            <w:tcBorders>
              <w:bottom w:val="single" w:sz="4" w:space="0" w:color="auto"/>
            </w:tcBorders>
          </w:tcPr>
          <w:p w:rsidR="00D25197" w:rsidRDefault="00AF4D6B" w:rsidP="00D25197">
            <w:r>
              <w:t xml:space="preserve"> 242</w:t>
            </w:r>
            <w:r w:rsidR="00242725">
              <w:t>.00</w:t>
            </w:r>
            <w:r w:rsidRPr="00B30946">
              <w:tab/>
            </w:r>
            <w:r>
              <w:t xml:space="preserve">           </w:t>
            </w:r>
          </w:p>
        </w:tc>
        <w:tc>
          <w:tcPr>
            <w:tcW w:w="2185" w:type="dxa"/>
            <w:tcBorders>
              <w:bottom w:val="single" w:sz="4" w:space="0" w:color="auto"/>
            </w:tcBorders>
          </w:tcPr>
          <w:p w:rsidR="00D25197" w:rsidRDefault="00AF4D6B" w:rsidP="00D25197">
            <w:r>
              <w:t>236</w:t>
            </w:r>
            <w:r w:rsidR="00242725">
              <w:t>.00</w:t>
            </w:r>
          </w:p>
        </w:tc>
      </w:tr>
      <w:tr w:rsidR="003C0A3F" w:rsidTr="00D25197">
        <w:trPr>
          <w:trHeight w:val="270"/>
          <w:jc w:val="center"/>
        </w:trPr>
        <w:tc>
          <w:tcPr>
            <w:tcW w:w="2185" w:type="dxa"/>
            <w:tcBorders>
              <w:top w:val="single" w:sz="4" w:space="0" w:color="auto"/>
            </w:tcBorders>
          </w:tcPr>
          <w:p w:rsidR="00D25197" w:rsidRPr="00B94C7C" w:rsidRDefault="00AF4D6B" w:rsidP="00DA03C9">
            <w:pPr>
              <w:spacing w:line="480" w:lineRule="auto"/>
              <w:rPr>
                <w:b/>
              </w:rPr>
            </w:pPr>
            <w:r w:rsidRPr="00B94C7C">
              <w:rPr>
                <w:b/>
              </w:rPr>
              <w:t>OM Ratio</w:t>
            </w:r>
          </w:p>
        </w:tc>
        <w:tc>
          <w:tcPr>
            <w:tcW w:w="2185" w:type="dxa"/>
            <w:tcBorders>
              <w:top w:val="single" w:sz="4" w:space="0" w:color="auto"/>
            </w:tcBorders>
          </w:tcPr>
          <w:p w:rsidR="00D25197" w:rsidRDefault="00AF4D6B" w:rsidP="00DA03C9">
            <w:pPr>
              <w:spacing w:line="480" w:lineRule="auto"/>
            </w:pPr>
            <w:r>
              <w:t>-0.05</w:t>
            </w:r>
          </w:p>
        </w:tc>
        <w:tc>
          <w:tcPr>
            <w:tcW w:w="2185" w:type="dxa"/>
            <w:tcBorders>
              <w:top w:val="single" w:sz="4" w:space="0" w:color="auto"/>
            </w:tcBorders>
          </w:tcPr>
          <w:p w:rsidR="00D25197" w:rsidRDefault="00AF4D6B" w:rsidP="00DA03C9">
            <w:pPr>
              <w:keepNext/>
              <w:spacing w:line="480" w:lineRule="auto"/>
            </w:pPr>
            <w:r>
              <w:t>0.03</w:t>
            </w:r>
          </w:p>
        </w:tc>
      </w:tr>
    </w:tbl>
    <w:p w:rsidR="00D25197" w:rsidRPr="00DA03C9" w:rsidRDefault="00AF4D6B" w:rsidP="00DA03C9">
      <w:pPr>
        <w:pStyle w:val="af"/>
        <w:spacing w:line="480" w:lineRule="auto"/>
        <w:rPr>
          <w:b w:val="0"/>
          <w:color w:val="auto"/>
          <w:sz w:val="24"/>
          <w:szCs w:val="24"/>
        </w:rPr>
      </w:pPr>
      <w:r w:rsidRPr="00DA03C9">
        <w:rPr>
          <w:b w:val="0"/>
          <w:color w:val="auto"/>
          <w:sz w:val="24"/>
          <w:szCs w:val="24"/>
        </w:rPr>
        <w:t xml:space="preserve">Table </w:t>
      </w:r>
      <w:r w:rsidR="00DA03C9">
        <w:rPr>
          <w:b w:val="0"/>
          <w:color w:val="auto"/>
          <w:sz w:val="24"/>
          <w:szCs w:val="24"/>
        </w:rPr>
        <w:t xml:space="preserve">4 </w:t>
      </w:r>
      <w:r w:rsidRPr="00DA03C9">
        <w:rPr>
          <w:b w:val="0"/>
          <w:i/>
          <w:color w:val="auto"/>
          <w:sz w:val="24"/>
          <w:szCs w:val="24"/>
        </w:rPr>
        <w:t>EPC Operating Margin Ratio</w:t>
      </w:r>
    </w:p>
    <w:p w:rsidR="00D25197" w:rsidRPr="00DA03C9" w:rsidRDefault="00AF4D6B" w:rsidP="00D25197">
      <w:pPr>
        <w:jc w:val="center"/>
        <w:rPr>
          <w:b/>
        </w:rPr>
      </w:pPr>
      <w:r w:rsidRPr="00DA03C9">
        <w:rPr>
          <w:b/>
        </w:rPr>
        <w:t>P&amp;G Operating Margin Ratio</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5"/>
        <w:gridCol w:w="2185"/>
        <w:gridCol w:w="2185"/>
      </w:tblGrid>
      <w:tr w:rsidR="003C0A3F" w:rsidTr="00D25197">
        <w:trPr>
          <w:trHeight w:val="256"/>
          <w:jc w:val="center"/>
        </w:trPr>
        <w:tc>
          <w:tcPr>
            <w:tcW w:w="2185" w:type="dxa"/>
            <w:tcBorders>
              <w:top w:val="single" w:sz="4" w:space="0" w:color="auto"/>
              <w:bottom w:val="single" w:sz="4" w:space="0" w:color="auto"/>
            </w:tcBorders>
          </w:tcPr>
          <w:p w:rsidR="00D25197" w:rsidRPr="005458F5" w:rsidRDefault="00D25197" w:rsidP="00D25197">
            <w:pPr>
              <w:rPr>
                <w:b/>
              </w:rPr>
            </w:pPr>
          </w:p>
        </w:tc>
        <w:tc>
          <w:tcPr>
            <w:tcW w:w="2185" w:type="dxa"/>
            <w:tcBorders>
              <w:top w:val="single" w:sz="4" w:space="0" w:color="auto"/>
              <w:bottom w:val="single" w:sz="4" w:space="0" w:color="auto"/>
            </w:tcBorders>
          </w:tcPr>
          <w:p w:rsidR="00D25197" w:rsidRPr="005458F5" w:rsidRDefault="00AF4D6B" w:rsidP="00D25197">
            <w:pPr>
              <w:rPr>
                <w:b/>
              </w:rPr>
            </w:pPr>
            <w:r w:rsidRPr="005458F5">
              <w:rPr>
                <w:b/>
              </w:rPr>
              <w:t>2015</w:t>
            </w:r>
          </w:p>
        </w:tc>
        <w:tc>
          <w:tcPr>
            <w:tcW w:w="2185" w:type="dxa"/>
            <w:tcBorders>
              <w:top w:val="single" w:sz="4" w:space="0" w:color="auto"/>
              <w:bottom w:val="single" w:sz="4" w:space="0" w:color="auto"/>
            </w:tcBorders>
          </w:tcPr>
          <w:p w:rsidR="00D25197" w:rsidRPr="005458F5" w:rsidRDefault="00AF4D6B" w:rsidP="00D25197">
            <w:pPr>
              <w:rPr>
                <w:b/>
              </w:rPr>
            </w:pPr>
            <w:r w:rsidRPr="005458F5">
              <w:rPr>
                <w:b/>
              </w:rPr>
              <w:t>2016</w:t>
            </w:r>
          </w:p>
        </w:tc>
      </w:tr>
      <w:tr w:rsidR="003C0A3F" w:rsidTr="00D25197">
        <w:trPr>
          <w:trHeight w:val="256"/>
          <w:jc w:val="center"/>
        </w:trPr>
        <w:tc>
          <w:tcPr>
            <w:tcW w:w="2185" w:type="dxa"/>
            <w:tcBorders>
              <w:top w:val="single" w:sz="4" w:space="0" w:color="auto"/>
            </w:tcBorders>
          </w:tcPr>
          <w:p w:rsidR="00D25197" w:rsidRPr="00B94C7C" w:rsidRDefault="00AF4D6B" w:rsidP="00D25197">
            <w:pPr>
              <w:rPr>
                <w:b/>
              </w:rPr>
            </w:pPr>
            <w:r w:rsidRPr="00B94C7C">
              <w:rPr>
                <w:b/>
              </w:rPr>
              <w:t>Operating Income</w:t>
            </w:r>
          </w:p>
        </w:tc>
        <w:tc>
          <w:tcPr>
            <w:tcW w:w="2185" w:type="dxa"/>
            <w:tcBorders>
              <w:top w:val="single" w:sz="4" w:space="0" w:color="auto"/>
            </w:tcBorders>
          </w:tcPr>
          <w:p w:rsidR="00D25197" w:rsidRDefault="00AF4D6B" w:rsidP="00D25197">
            <w:r>
              <w:t>13,441</w:t>
            </w:r>
          </w:p>
        </w:tc>
        <w:tc>
          <w:tcPr>
            <w:tcW w:w="2185" w:type="dxa"/>
            <w:tcBorders>
              <w:top w:val="single" w:sz="4" w:space="0" w:color="auto"/>
            </w:tcBorders>
          </w:tcPr>
          <w:p w:rsidR="00D25197" w:rsidRDefault="00AF4D6B" w:rsidP="00D25197">
            <w:r>
              <w:t>11,049</w:t>
            </w:r>
          </w:p>
        </w:tc>
      </w:tr>
      <w:tr w:rsidR="003C0A3F" w:rsidTr="00D25197">
        <w:trPr>
          <w:trHeight w:val="256"/>
          <w:jc w:val="center"/>
        </w:trPr>
        <w:tc>
          <w:tcPr>
            <w:tcW w:w="2185" w:type="dxa"/>
            <w:tcBorders>
              <w:bottom w:val="single" w:sz="4" w:space="0" w:color="auto"/>
            </w:tcBorders>
          </w:tcPr>
          <w:p w:rsidR="00D25197" w:rsidRPr="00B94C7C" w:rsidRDefault="00AF4D6B" w:rsidP="00D25197">
            <w:pPr>
              <w:rPr>
                <w:b/>
              </w:rPr>
            </w:pPr>
            <w:r w:rsidRPr="00B94C7C">
              <w:rPr>
                <w:b/>
              </w:rPr>
              <w:t>Net Sales</w:t>
            </w:r>
          </w:p>
        </w:tc>
        <w:tc>
          <w:tcPr>
            <w:tcW w:w="2185" w:type="dxa"/>
            <w:tcBorders>
              <w:bottom w:val="single" w:sz="4" w:space="0" w:color="auto"/>
            </w:tcBorders>
          </w:tcPr>
          <w:p w:rsidR="00D25197" w:rsidRDefault="00AF4D6B" w:rsidP="00D25197">
            <w:r>
              <w:t>65,299</w:t>
            </w:r>
            <w:r w:rsidRPr="001C5542">
              <w:t xml:space="preserve"> </w:t>
            </w:r>
          </w:p>
        </w:tc>
        <w:tc>
          <w:tcPr>
            <w:tcW w:w="2185" w:type="dxa"/>
            <w:tcBorders>
              <w:bottom w:val="single" w:sz="4" w:space="0" w:color="auto"/>
            </w:tcBorders>
          </w:tcPr>
          <w:p w:rsidR="00D25197" w:rsidRDefault="00AF4D6B" w:rsidP="00D25197">
            <w:r>
              <w:t>70,749</w:t>
            </w:r>
          </w:p>
        </w:tc>
      </w:tr>
      <w:tr w:rsidR="003C0A3F" w:rsidTr="00D25197">
        <w:trPr>
          <w:trHeight w:val="270"/>
          <w:jc w:val="center"/>
        </w:trPr>
        <w:tc>
          <w:tcPr>
            <w:tcW w:w="2185" w:type="dxa"/>
            <w:tcBorders>
              <w:top w:val="single" w:sz="4" w:space="0" w:color="auto"/>
            </w:tcBorders>
          </w:tcPr>
          <w:p w:rsidR="00D25197" w:rsidRPr="00B94C7C" w:rsidRDefault="00AF4D6B" w:rsidP="00DA03C9">
            <w:pPr>
              <w:spacing w:line="480" w:lineRule="auto"/>
              <w:rPr>
                <w:b/>
              </w:rPr>
            </w:pPr>
            <w:r w:rsidRPr="00B94C7C">
              <w:rPr>
                <w:b/>
              </w:rPr>
              <w:t>OM Ratio</w:t>
            </w:r>
          </w:p>
        </w:tc>
        <w:tc>
          <w:tcPr>
            <w:tcW w:w="2185" w:type="dxa"/>
            <w:tcBorders>
              <w:top w:val="single" w:sz="4" w:space="0" w:color="auto"/>
            </w:tcBorders>
          </w:tcPr>
          <w:p w:rsidR="00D25197" w:rsidRDefault="00AF4D6B" w:rsidP="00DA03C9">
            <w:pPr>
              <w:spacing w:line="480" w:lineRule="auto"/>
            </w:pPr>
            <w:r>
              <w:t>0.2</w:t>
            </w:r>
            <w:r w:rsidR="00545CB1">
              <w:t>00</w:t>
            </w:r>
          </w:p>
        </w:tc>
        <w:tc>
          <w:tcPr>
            <w:tcW w:w="2185" w:type="dxa"/>
            <w:tcBorders>
              <w:top w:val="single" w:sz="4" w:space="0" w:color="auto"/>
            </w:tcBorders>
          </w:tcPr>
          <w:p w:rsidR="00D25197" w:rsidRDefault="00AF4D6B" w:rsidP="00DA03C9">
            <w:pPr>
              <w:keepNext/>
              <w:spacing w:line="480" w:lineRule="auto"/>
            </w:pPr>
            <w:r>
              <w:t>0.2</w:t>
            </w:r>
            <w:r w:rsidR="00545CB1">
              <w:t>00</w:t>
            </w:r>
          </w:p>
        </w:tc>
      </w:tr>
    </w:tbl>
    <w:p w:rsidR="00D25197" w:rsidRPr="00DA03C9" w:rsidRDefault="00AF4D6B" w:rsidP="00DA03C9">
      <w:pPr>
        <w:pStyle w:val="af"/>
        <w:spacing w:line="480" w:lineRule="auto"/>
        <w:rPr>
          <w:b w:val="0"/>
          <w:i/>
          <w:color w:val="auto"/>
          <w:sz w:val="24"/>
          <w:szCs w:val="24"/>
        </w:rPr>
      </w:pPr>
      <w:r w:rsidRPr="00DA03C9">
        <w:rPr>
          <w:b w:val="0"/>
          <w:color w:val="auto"/>
          <w:sz w:val="24"/>
          <w:szCs w:val="24"/>
        </w:rPr>
        <w:t xml:space="preserve">Table </w:t>
      </w:r>
      <w:r w:rsidR="00DA03C9">
        <w:rPr>
          <w:b w:val="0"/>
          <w:color w:val="auto"/>
          <w:sz w:val="24"/>
          <w:szCs w:val="24"/>
        </w:rPr>
        <w:t>5</w:t>
      </w:r>
      <w:r w:rsidRPr="00DA03C9">
        <w:rPr>
          <w:b w:val="0"/>
          <w:color w:val="auto"/>
          <w:sz w:val="24"/>
          <w:szCs w:val="24"/>
        </w:rPr>
        <w:t xml:space="preserve"> </w:t>
      </w:r>
      <w:r w:rsidRPr="00DA03C9">
        <w:rPr>
          <w:b w:val="0"/>
          <w:i/>
          <w:color w:val="auto"/>
          <w:sz w:val="24"/>
          <w:szCs w:val="24"/>
        </w:rPr>
        <w:t>P&amp;G Operating Margin Ratio</w:t>
      </w:r>
    </w:p>
    <w:p w:rsidR="00D25197" w:rsidRDefault="00AF4D6B" w:rsidP="00D25197">
      <w:pPr>
        <w:ind w:firstLine="720"/>
      </w:pPr>
      <w:r>
        <w:t xml:space="preserve">OM ratio shows the ability of the companies to support their operations. Thus, P&amp;G Company has a higher OM ratio and is considered to be more stable in covering operating expenses compared to EPC Company. The P&amp;G operating margin ratio of 20% means that for every $1 of income there is a balance of 20 cents after covering expenses. </w:t>
      </w:r>
    </w:p>
    <w:p w:rsidR="00DA03C9" w:rsidRDefault="00DA03C9" w:rsidP="00D25197">
      <w:pPr>
        <w:ind w:firstLine="720"/>
      </w:pPr>
    </w:p>
    <w:p w:rsidR="00DA03C9" w:rsidRDefault="00DA03C9" w:rsidP="00D25197">
      <w:pPr>
        <w:ind w:firstLine="720"/>
      </w:pPr>
    </w:p>
    <w:p w:rsidR="00D25197" w:rsidRPr="00DA03C9" w:rsidRDefault="00AF4D6B" w:rsidP="00DA03C9">
      <w:pPr>
        <w:rPr>
          <w:b/>
        </w:rPr>
      </w:pPr>
      <w:r w:rsidRPr="00DA03C9">
        <w:rPr>
          <w:b/>
        </w:rPr>
        <w:lastRenderedPageBreak/>
        <w:t>Return on Equity</w:t>
      </w:r>
    </w:p>
    <w:p w:rsidR="00D25197" w:rsidRDefault="00AF4D6B" w:rsidP="00D25197">
      <w:pPr>
        <w:ind w:firstLine="720"/>
        <w:jc w:val="both"/>
      </w:pPr>
      <w:r>
        <w:t xml:space="preserve">Return on shareholders’ equity ratio shows </w:t>
      </w:r>
      <w:r w:rsidR="00CD6CEB">
        <w:t xml:space="preserve">the </w:t>
      </w:r>
      <w:r>
        <w:t xml:space="preserve">amount </w:t>
      </w:r>
      <w:r w:rsidR="00CD6CEB">
        <w:t xml:space="preserve">of </w:t>
      </w:r>
      <w:r>
        <w:t>net income generated by the companies using shareholders’ equity or fund</w:t>
      </w:r>
      <w:r w:rsidR="00CD6CEB">
        <w:t>s</w:t>
      </w:r>
      <w:r>
        <w:t xml:space="preserve"> invested. Thus, companies with a higher return on equity are more efficient in generating net income from the </w:t>
      </w:r>
      <w:r w:rsidR="00CD6CEB">
        <w:t>shareholders' funds. Return on shareholders’ e</w:t>
      </w:r>
      <w:r>
        <w:t>quity ratio will be calculated as net income divided by shareholders' common equity.</w:t>
      </w:r>
    </w:p>
    <w:p w:rsidR="00D25197" w:rsidRPr="00D168DA" w:rsidRDefault="00AF4D6B" w:rsidP="00D25197">
      <w:pPr>
        <w:jc w:val="center"/>
        <w:rPr>
          <w:b/>
        </w:rPr>
      </w:pPr>
      <w:r w:rsidRPr="00D168DA">
        <w:rPr>
          <w:b/>
        </w:rPr>
        <w:t>EPC Return on Equity</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5"/>
        <w:gridCol w:w="2230"/>
        <w:gridCol w:w="2230"/>
      </w:tblGrid>
      <w:tr w:rsidR="003C0A3F" w:rsidTr="00D25197">
        <w:trPr>
          <w:trHeight w:val="256"/>
          <w:jc w:val="center"/>
        </w:trPr>
        <w:tc>
          <w:tcPr>
            <w:tcW w:w="2305" w:type="dxa"/>
            <w:tcBorders>
              <w:top w:val="single" w:sz="4" w:space="0" w:color="auto"/>
              <w:bottom w:val="single" w:sz="4" w:space="0" w:color="auto"/>
            </w:tcBorders>
          </w:tcPr>
          <w:p w:rsidR="00D25197" w:rsidRPr="00F21063" w:rsidRDefault="00D25197" w:rsidP="00D25197">
            <w:pPr>
              <w:jc w:val="center"/>
            </w:pPr>
          </w:p>
        </w:tc>
        <w:tc>
          <w:tcPr>
            <w:tcW w:w="2230" w:type="dxa"/>
            <w:tcBorders>
              <w:top w:val="single" w:sz="4" w:space="0" w:color="auto"/>
              <w:bottom w:val="single" w:sz="4" w:space="0" w:color="auto"/>
            </w:tcBorders>
          </w:tcPr>
          <w:p w:rsidR="00D25197" w:rsidRPr="00F21063" w:rsidRDefault="00AF4D6B" w:rsidP="00D25197">
            <w:pPr>
              <w:jc w:val="center"/>
              <w:rPr>
                <w:b/>
              </w:rPr>
            </w:pPr>
            <w:r>
              <w:rPr>
                <w:b/>
              </w:rPr>
              <w:t>2015</w:t>
            </w:r>
          </w:p>
        </w:tc>
        <w:tc>
          <w:tcPr>
            <w:tcW w:w="2230" w:type="dxa"/>
            <w:tcBorders>
              <w:top w:val="single" w:sz="4" w:space="0" w:color="auto"/>
              <w:bottom w:val="single" w:sz="4" w:space="0" w:color="auto"/>
            </w:tcBorders>
          </w:tcPr>
          <w:p w:rsidR="00D25197" w:rsidRPr="00F21063" w:rsidRDefault="00AF4D6B" w:rsidP="00D25197">
            <w:pPr>
              <w:jc w:val="center"/>
              <w:rPr>
                <w:b/>
              </w:rPr>
            </w:pPr>
            <w:r>
              <w:rPr>
                <w:b/>
              </w:rPr>
              <w:t>2016</w:t>
            </w:r>
          </w:p>
        </w:tc>
      </w:tr>
      <w:tr w:rsidR="003C0A3F" w:rsidTr="00D25197">
        <w:trPr>
          <w:trHeight w:val="256"/>
          <w:jc w:val="center"/>
        </w:trPr>
        <w:tc>
          <w:tcPr>
            <w:tcW w:w="2305" w:type="dxa"/>
            <w:tcBorders>
              <w:top w:val="single" w:sz="4" w:space="0" w:color="auto"/>
            </w:tcBorders>
          </w:tcPr>
          <w:p w:rsidR="00D25197" w:rsidRPr="00F21063" w:rsidRDefault="00AF4D6B" w:rsidP="00D25197">
            <w:r>
              <w:t>Net Income</w:t>
            </w:r>
          </w:p>
        </w:tc>
        <w:tc>
          <w:tcPr>
            <w:tcW w:w="2230" w:type="dxa"/>
            <w:tcBorders>
              <w:top w:val="single" w:sz="4" w:space="0" w:color="auto"/>
            </w:tcBorders>
            <w:vAlign w:val="bottom"/>
          </w:tcPr>
          <w:p w:rsidR="00D25197" w:rsidRDefault="00AF4D6B" w:rsidP="00D25197">
            <w:pPr>
              <w:jc w:val="center"/>
            </w:pPr>
            <w:r>
              <w:rPr>
                <w:rFonts w:eastAsia="Times New Roman"/>
                <w:b/>
                <w:bCs/>
                <w:color w:val="000000"/>
                <w:sz w:val="22"/>
                <w:szCs w:val="22"/>
              </w:rPr>
              <w:t>(296.1</w:t>
            </w:r>
            <w:r w:rsidR="00545CB1">
              <w:rPr>
                <w:rFonts w:eastAsia="Times New Roman"/>
                <w:b/>
                <w:bCs/>
                <w:color w:val="000000"/>
                <w:sz w:val="22"/>
                <w:szCs w:val="22"/>
              </w:rPr>
              <w:t>00</w:t>
            </w:r>
            <w:r w:rsidRPr="00344D1C">
              <w:rPr>
                <w:rFonts w:eastAsia="Times New Roman"/>
                <w:b/>
                <w:bCs/>
                <w:color w:val="000000"/>
                <w:sz w:val="22"/>
                <w:szCs w:val="22"/>
              </w:rPr>
              <w:t>)</w:t>
            </w:r>
          </w:p>
        </w:tc>
        <w:tc>
          <w:tcPr>
            <w:tcW w:w="2230" w:type="dxa"/>
            <w:tcBorders>
              <w:top w:val="single" w:sz="4" w:space="0" w:color="auto"/>
            </w:tcBorders>
            <w:vAlign w:val="bottom"/>
          </w:tcPr>
          <w:p w:rsidR="00D25197" w:rsidRDefault="00AF4D6B" w:rsidP="00D25197">
            <w:pPr>
              <w:jc w:val="center"/>
            </w:pPr>
            <w:r>
              <w:rPr>
                <w:rFonts w:eastAsia="Times New Roman"/>
                <w:b/>
                <w:bCs/>
                <w:color w:val="000000"/>
                <w:sz w:val="22"/>
                <w:szCs w:val="22"/>
              </w:rPr>
              <w:t>178.7</w:t>
            </w:r>
            <w:r w:rsidR="00545CB1">
              <w:rPr>
                <w:rFonts w:eastAsia="Times New Roman"/>
                <w:b/>
                <w:bCs/>
                <w:color w:val="000000"/>
                <w:sz w:val="22"/>
                <w:szCs w:val="22"/>
              </w:rPr>
              <w:t>00</w:t>
            </w:r>
          </w:p>
        </w:tc>
      </w:tr>
      <w:tr w:rsidR="003C0A3F" w:rsidTr="00D25197">
        <w:trPr>
          <w:trHeight w:val="256"/>
          <w:jc w:val="center"/>
        </w:trPr>
        <w:tc>
          <w:tcPr>
            <w:tcW w:w="2305" w:type="dxa"/>
            <w:tcBorders>
              <w:bottom w:val="single" w:sz="4" w:space="0" w:color="auto"/>
            </w:tcBorders>
          </w:tcPr>
          <w:p w:rsidR="00D25197" w:rsidRPr="00F21063" w:rsidRDefault="00AF4D6B" w:rsidP="00D25197">
            <w:r>
              <w:t>Common Equity</w:t>
            </w:r>
          </w:p>
        </w:tc>
        <w:tc>
          <w:tcPr>
            <w:tcW w:w="2230" w:type="dxa"/>
            <w:tcBorders>
              <w:bottom w:val="single" w:sz="4" w:space="0" w:color="auto"/>
            </w:tcBorders>
          </w:tcPr>
          <w:p w:rsidR="00D25197" w:rsidRDefault="00AF4D6B" w:rsidP="00D25197">
            <w:pPr>
              <w:jc w:val="center"/>
            </w:pPr>
            <w:r>
              <w:t>1,864.1</w:t>
            </w:r>
            <w:r w:rsidR="00545CB1">
              <w:t>00</w:t>
            </w:r>
          </w:p>
        </w:tc>
        <w:tc>
          <w:tcPr>
            <w:tcW w:w="2230" w:type="dxa"/>
            <w:tcBorders>
              <w:bottom w:val="single" w:sz="4" w:space="0" w:color="auto"/>
            </w:tcBorders>
          </w:tcPr>
          <w:p w:rsidR="00D25197" w:rsidRDefault="00AF4D6B" w:rsidP="00D25197">
            <w:pPr>
              <w:jc w:val="center"/>
            </w:pPr>
            <w:r>
              <w:t>1,829</w:t>
            </w:r>
          </w:p>
        </w:tc>
      </w:tr>
      <w:tr w:rsidR="003C0A3F" w:rsidTr="00D25197">
        <w:trPr>
          <w:trHeight w:val="270"/>
          <w:jc w:val="center"/>
        </w:trPr>
        <w:tc>
          <w:tcPr>
            <w:tcW w:w="2305" w:type="dxa"/>
            <w:tcBorders>
              <w:top w:val="single" w:sz="4" w:space="0" w:color="auto"/>
            </w:tcBorders>
          </w:tcPr>
          <w:p w:rsidR="00D25197" w:rsidRPr="00F21063" w:rsidRDefault="00AF4D6B" w:rsidP="00D168DA">
            <w:pPr>
              <w:spacing w:line="480" w:lineRule="auto"/>
            </w:pPr>
            <w:r>
              <w:t>ROE</w:t>
            </w:r>
          </w:p>
        </w:tc>
        <w:tc>
          <w:tcPr>
            <w:tcW w:w="2230" w:type="dxa"/>
            <w:tcBorders>
              <w:top w:val="single" w:sz="4" w:space="0" w:color="auto"/>
            </w:tcBorders>
          </w:tcPr>
          <w:p w:rsidR="00D25197" w:rsidRDefault="00AF4D6B" w:rsidP="00D168DA">
            <w:pPr>
              <w:spacing w:line="480" w:lineRule="auto"/>
              <w:jc w:val="center"/>
            </w:pPr>
            <w:r>
              <w:t>-0.16</w:t>
            </w:r>
            <w:r w:rsidR="00545CB1">
              <w:t>0</w:t>
            </w:r>
          </w:p>
        </w:tc>
        <w:tc>
          <w:tcPr>
            <w:tcW w:w="2230" w:type="dxa"/>
            <w:tcBorders>
              <w:top w:val="single" w:sz="4" w:space="0" w:color="auto"/>
            </w:tcBorders>
          </w:tcPr>
          <w:p w:rsidR="00D25197" w:rsidRDefault="00AF4D6B" w:rsidP="00D168DA">
            <w:pPr>
              <w:keepNext/>
              <w:spacing w:line="480" w:lineRule="auto"/>
              <w:jc w:val="center"/>
            </w:pPr>
            <w:r>
              <w:t>0.10</w:t>
            </w:r>
            <w:r w:rsidR="00545CB1">
              <w:t>0</w:t>
            </w:r>
          </w:p>
        </w:tc>
      </w:tr>
    </w:tbl>
    <w:p w:rsidR="00D25197" w:rsidRPr="00D168DA" w:rsidRDefault="00AF4D6B" w:rsidP="00D168DA">
      <w:pPr>
        <w:pStyle w:val="af"/>
        <w:spacing w:line="480" w:lineRule="auto"/>
        <w:rPr>
          <w:b w:val="0"/>
          <w:color w:val="auto"/>
          <w:sz w:val="24"/>
          <w:szCs w:val="24"/>
        </w:rPr>
      </w:pPr>
      <w:r w:rsidRPr="00D168DA">
        <w:rPr>
          <w:b w:val="0"/>
          <w:color w:val="auto"/>
          <w:sz w:val="24"/>
          <w:szCs w:val="24"/>
        </w:rPr>
        <w:t xml:space="preserve">Table </w:t>
      </w:r>
      <w:r w:rsidR="00D168DA">
        <w:rPr>
          <w:b w:val="0"/>
          <w:color w:val="auto"/>
          <w:sz w:val="24"/>
          <w:szCs w:val="24"/>
        </w:rPr>
        <w:t>6</w:t>
      </w:r>
      <w:r w:rsidRPr="00D168DA">
        <w:rPr>
          <w:b w:val="0"/>
          <w:color w:val="auto"/>
          <w:sz w:val="24"/>
          <w:szCs w:val="24"/>
        </w:rPr>
        <w:t xml:space="preserve"> </w:t>
      </w:r>
      <w:r w:rsidRPr="00D168DA">
        <w:rPr>
          <w:b w:val="0"/>
          <w:i/>
          <w:color w:val="auto"/>
          <w:sz w:val="24"/>
          <w:szCs w:val="24"/>
        </w:rPr>
        <w:t>EPC Return on Shareholders’ Equity</w:t>
      </w:r>
    </w:p>
    <w:p w:rsidR="00D25197" w:rsidRPr="00D168DA" w:rsidRDefault="00AF4D6B" w:rsidP="00D25197">
      <w:pPr>
        <w:jc w:val="center"/>
        <w:rPr>
          <w:b/>
        </w:rPr>
      </w:pPr>
      <w:r w:rsidRPr="00D168DA">
        <w:rPr>
          <w:b/>
        </w:rPr>
        <w:t>P&amp;G Return on Shareholders’ Equity</w:t>
      </w:r>
      <w:r w:rsidRPr="00D168DA">
        <w:rPr>
          <w:b/>
        </w:rPr>
        <w:tab/>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5"/>
        <w:gridCol w:w="2230"/>
        <w:gridCol w:w="2230"/>
      </w:tblGrid>
      <w:tr w:rsidR="003C0A3F" w:rsidTr="00D25197">
        <w:trPr>
          <w:trHeight w:val="256"/>
          <w:jc w:val="center"/>
        </w:trPr>
        <w:tc>
          <w:tcPr>
            <w:tcW w:w="2305" w:type="dxa"/>
            <w:tcBorders>
              <w:top w:val="single" w:sz="4" w:space="0" w:color="auto"/>
              <w:bottom w:val="single" w:sz="4" w:space="0" w:color="auto"/>
            </w:tcBorders>
          </w:tcPr>
          <w:p w:rsidR="00D25197" w:rsidRPr="00F21063" w:rsidRDefault="00D25197" w:rsidP="00D25197">
            <w:pPr>
              <w:jc w:val="center"/>
            </w:pPr>
          </w:p>
        </w:tc>
        <w:tc>
          <w:tcPr>
            <w:tcW w:w="2230" w:type="dxa"/>
            <w:tcBorders>
              <w:top w:val="single" w:sz="4" w:space="0" w:color="auto"/>
              <w:bottom w:val="single" w:sz="4" w:space="0" w:color="auto"/>
            </w:tcBorders>
          </w:tcPr>
          <w:p w:rsidR="00D25197" w:rsidRPr="00F21063" w:rsidRDefault="00AF4D6B" w:rsidP="00D25197">
            <w:pPr>
              <w:jc w:val="center"/>
              <w:rPr>
                <w:b/>
              </w:rPr>
            </w:pPr>
            <w:r>
              <w:rPr>
                <w:b/>
              </w:rPr>
              <w:t>2015</w:t>
            </w:r>
          </w:p>
        </w:tc>
        <w:tc>
          <w:tcPr>
            <w:tcW w:w="2230" w:type="dxa"/>
            <w:tcBorders>
              <w:top w:val="single" w:sz="4" w:space="0" w:color="auto"/>
              <w:bottom w:val="single" w:sz="4" w:space="0" w:color="auto"/>
            </w:tcBorders>
          </w:tcPr>
          <w:p w:rsidR="00D25197" w:rsidRPr="00F21063" w:rsidRDefault="00AF4D6B" w:rsidP="00D25197">
            <w:pPr>
              <w:jc w:val="center"/>
              <w:rPr>
                <w:b/>
              </w:rPr>
            </w:pPr>
            <w:r>
              <w:rPr>
                <w:b/>
              </w:rPr>
              <w:t>2016</w:t>
            </w:r>
          </w:p>
        </w:tc>
      </w:tr>
      <w:tr w:rsidR="003C0A3F" w:rsidTr="00D25197">
        <w:trPr>
          <w:trHeight w:val="256"/>
          <w:jc w:val="center"/>
        </w:trPr>
        <w:tc>
          <w:tcPr>
            <w:tcW w:w="2305" w:type="dxa"/>
            <w:tcBorders>
              <w:top w:val="single" w:sz="4" w:space="0" w:color="auto"/>
            </w:tcBorders>
          </w:tcPr>
          <w:p w:rsidR="00D25197" w:rsidRPr="00F21063" w:rsidRDefault="00AF4D6B" w:rsidP="00D25197">
            <w:r>
              <w:t>Net Income</w:t>
            </w:r>
          </w:p>
        </w:tc>
        <w:tc>
          <w:tcPr>
            <w:tcW w:w="2230" w:type="dxa"/>
            <w:tcBorders>
              <w:top w:val="single" w:sz="4" w:space="0" w:color="auto"/>
            </w:tcBorders>
          </w:tcPr>
          <w:p w:rsidR="00D25197" w:rsidRDefault="00AF4D6B" w:rsidP="00D25197">
            <w:pPr>
              <w:jc w:val="center"/>
            </w:pPr>
            <w:r>
              <w:t>7,036,000</w:t>
            </w:r>
            <w:r w:rsidR="00545CB1">
              <w:t>.00</w:t>
            </w:r>
          </w:p>
        </w:tc>
        <w:tc>
          <w:tcPr>
            <w:tcW w:w="2230" w:type="dxa"/>
            <w:tcBorders>
              <w:top w:val="single" w:sz="4" w:space="0" w:color="auto"/>
            </w:tcBorders>
          </w:tcPr>
          <w:p w:rsidR="00D25197" w:rsidRDefault="00AF4D6B" w:rsidP="00D25197">
            <w:pPr>
              <w:jc w:val="center"/>
            </w:pPr>
            <w:r>
              <w:t>10,508,000</w:t>
            </w:r>
            <w:r w:rsidR="00545CB1">
              <w:t>.00</w:t>
            </w:r>
          </w:p>
        </w:tc>
      </w:tr>
      <w:tr w:rsidR="003C0A3F" w:rsidTr="00D25197">
        <w:trPr>
          <w:trHeight w:val="256"/>
          <w:jc w:val="center"/>
        </w:trPr>
        <w:tc>
          <w:tcPr>
            <w:tcW w:w="2305" w:type="dxa"/>
            <w:tcBorders>
              <w:bottom w:val="single" w:sz="4" w:space="0" w:color="auto"/>
            </w:tcBorders>
          </w:tcPr>
          <w:p w:rsidR="00D25197" w:rsidRPr="00F21063" w:rsidRDefault="00AF4D6B" w:rsidP="00D25197">
            <w:r>
              <w:t>Common Equity</w:t>
            </w:r>
          </w:p>
        </w:tc>
        <w:tc>
          <w:tcPr>
            <w:tcW w:w="2230" w:type="dxa"/>
            <w:tcBorders>
              <w:bottom w:val="single" w:sz="4" w:space="0" w:color="auto"/>
            </w:tcBorders>
            <w:vAlign w:val="center"/>
          </w:tcPr>
          <w:p w:rsidR="00D25197" w:rsidRPr="0068729D" w:rsidRDefault="00AF4D6B" w:rsidP="00D25197">
            <w:pPr>
              <w:jc w:val="center"/>
            </w:pPr>
            <w:r>
              <w:rPr>
                <w:color w:val="000000"/>
              </w:rPr>
              <w:t>62,419,000</w:t>
            </w:r>
            <w:r w:rsidR="00545CB1">
              <w:rPr>
                <w:color w:val="000000"/>
              </w:rPr>
              <w:t>.00</w:t>
            </w:r>
          </w:p>
        </w:tc>
        <w:tc>
          <w:tcPr>
            <w:tcW w:w="2230" w:type="dxa"/>
            <w:tcBorders>
              <w:bottom w:val="single" w:sz="4" w:space="0" w:color="auto"/>
            </w:tcBorders>
            <w:vAlign w:val="center"/>
          </w:tcPr>
          <w:p w:rsidR="00D25197" w:rsidRPr="0068729D" w:rsidRDefault="00AF4D6B" w:rsidP="00D25197">
            <w:pPr>
              <w:jc w:val="center"/>
            </w:pPr>
            <w:r>
              <w:rPr>
                <w:color w:val="000000"/>
              </w:rPr>
              <w:t>57,341,000</w:t>
            </w:r>
            <w:r w:rsidR="00545CB1">
              <w:rPr>
                <w:color w:val="000000"/>
              </w:rPr>
              <w:t>.00</w:t>
            </w:r>
          </w:p>
        </w:tc>
      </w:tr>
      <w:tr w:rsidR="003C0A3F" w:rsidTr="00D25197">
        <w:trPr>
          <w:trHeight w:val="270"/>
          <w:jc w:val="center"/>
        </w:trPr>
        <w:tc>
          <w:tcPr>
            <w:tcW w:w="2305" w:type="dxa"/>
            <w:tcBorders>
              <w:top w:val="single" w:sz="4" w:space="0" w:color="auto"/>
            </w:tcBorders>
          </w:tcPr>
          <w:p w:rsidR="00D25197" w:rsidRPr="00F21063" w:rsidRDefault="00AF4D6B" w:rsidP="00D168DA">
            <w:pPr>
              <w:spacing w:line="480" w:lineRule="auto"/>
            </w:pPr>
            <w:r>
              <w:t>ROE</w:t>
            </w:r>
          </w:p>
        </w:tc>
        <w:tc>
          <w:tcPr>
            <w:tcW w:w="2230" w:type="dxa"/>
            <w:tcBorders>
              <w:top w:val="single" w:sz="4" w:space="0" w:color="auto"/>
            </w:tcBorders>
          </w:tcPr>
          <w:p w:rsidR="00D25197" w:rsidRDefault="00AF4D6B" w:rsidP="00D168DA">
            <w:pPr>
              <w:spacing w:line="480" w:lineRule="auto"/>
              <w:jc w:val="center"/>
            </w:pPr>
            <w:r>
              <w:t>0.11</w:t>
            </w:r>
          </w:p>
        </w:tc>
        <w:tc>
          <w:tcPr>
            <w:tcW w:w="2230" w:type="dxa"/>
            <w:tcBorders>
              <w:top w:val="single" w:sz="4" w:space="0" w:color="auto"/>
            </w:tcBorders>
          </w:tcPr>
          <w:p w:rsidR="00D25197" w:rsidRDefault="00AF4D6B" w:rsidP="00D168DA">
            <w:pPr>
              <w:keepNext/>
              <w:spacing w:line="480" w:lineRule="auto"/>
              <w:jc w:val="center"/>
            </w:pPr>
            <w:r>
              <w:t>0.18</w:t>
            </w:r>
          </w:p>
        </w:tc>
      </w:tr>
    </w:tbl>
    <w:p w:rsidR="00D25197" w:rsidRPr="00D168DA" w:rsidRDefault="00AF4D6B" w:rsidP="00D168DA">
      <w:pPr>
        <w:pStyle w:val="af"/>
        <w:spacing w:line="480" w:lineRule="auto"/>
        <w:rPr>
          <w:b w:val="0"/>
          <w:i/>
          <w:color w:val="auto"/>
          <w:sz w:val="24"/>
          <w:szCs w:val="24"/>
        </w:rPr>
      </w:pPr>
      <w:r w:rsidRPr="00D168DA">
        <w:rPr>
          <w:b w:val="0"/>
          <w:color w:val="auto"/>
          <w:sz w:val="24"/>
          <w:szCs w:val="24"/>
        </w:rPr>
        <w:t xml:space="preserve">Table </w:t>
      </w:r>
      <w:r w:rsidR="00D168DA">
        <w:rPr>
          <w:b w:val="0"/>
          <w:color w:val="auto"/>
          <w:sz w:val="24"/>
          <w:szCs w:val="24"/>
        </w:rPr>
        <w:t>7</w:t>
      </w:r>
      <w:r w:rsidRPr="00D168DA">
        <w:rPr>
          <w:b w:val="0"/>
          <w:color w:val="auto"/>
          <w:sz w:val="24"/>
          <w:szCs w:val="24"/>
        </w:rPr>
        <w:t xml:space="preserve"> </w:t>
      </w:r>
      <w:r w:rsidRPr="00D168DA">
        <w:rPr>
          <w:b w:val="0"/>
          <w:i/>
          <w:color w:val="auto"/>
          <w:sz w:val="24"/>
          <w:szCs w:val="24"/>
        </w:rPr>
        <w:t>P&amp;G Return on Shareholders’ Equity</w:t>
      </w:r>
    </w:p>
    <w:p w:rsidR="00D25197" w:rsidRDefault="00AF4D6B" w:rsidP="00DD654A">
      <w:pPr>
        <w:ind w:firstLine="720"/>
        <w:jc w:val="both"/>
      </w:pPr>
      <w:r>
        <w:t xml:space="preserve">Based on the above return on shareholders’ equity for the years 2015 and 2015, P&amp;G Company has a higher ratio compared to EPC. The higher ratio indicates </w:t>
      </w:r>
      <w:r w:rsidR="00D168DA">
        <w:t xml:space="preserve">that </w:t>
      </w:r>
      <w:r>
        <w:t xml:space="preserve">P&amp;G is more capable of generating net income using shareholders’ equity compared to EPC. </w:t>
      </w:r>
    </w:p>
    <w:p w:rsidR="00DD654A" w:rsidRDefault="00DD654A" w:rsidP="00DD654A">
      <w:pPr>
        <w:ind w:firstLine="720"/>
        <w:jc w:val="both"/>
      </w:pPr>
    </w:p>
    <w:p w:rsidR="00DD654A" w:rsidRPr="00883D0F" w:rsidRDefault="00DD654A" w:rsidP="00DD654A">
      <w:pPr>
        <w:ind w:firstLine="720"/>
        <w:jc w:val="both"/>
      </w:pPr>
    </w:p>
    <w:p w:rsidR="00D25197" w:rsidRPr="00312D18" w:rsidRDefault="00AF4D6B" w:rsidP="00D25197">
      <w:pPr>
        <w:ind w:firstLine="720"/>
        <w:jc w:val="center"/>
        <w:rPr>
          <w:b/>
        </w:rPr>
      </w:pPr>
      <w:r w:rsidRPr="00312D18">
        <w:rPr>
          <w:b/>
        </w:rPr>
        <w:lastRenderedPageBreak/>
        <w:t>Liquidity Financial Ratios</w:t>
      </w:r>
    </w:p>
    <w:p w:rsidR="00D25197" w:rsidRPr="00DD654A" w:rsidRDefault="00AF4D6B" w:rsidP="00DD654A">
      <w:pPr>
        <w:rPr>
          <w:b/>
        </w:rPr>
      </w:pPr>
      <w:r w:rsidRPr="00DD654A">
        <w:rPr>
          <w:b/>
        </w:rPr>
        <w:t>Current Ratio</w:t>
      </w:r>
    </w:p>
    <w:p w:rsidR="00D25197" w:rsidRDefault="00AF4D6B" w:rsidP="00D25197">
      <w:pPr>
        <w:ind w:firstLine="720"/>
        <w:jc w:val="both"/>
      </w:pPr>
      <w:r>
        <w:t>It is a liquidity ratio that measures the ability of the company to pay its long-term and short-term debt</w:t>
      </w:r>
      <w:r w:rsidR="001234C5">
        <w:t>s</w:t>
      </w:r>
      <w:r>
        <w:t xml:space="preserve"> using current assets (</w:t>
      </w:r>
      <w:r>
        <w:rPr>
          <w:color w:val="222222"/>
          <w:shd w:val="clear" w:color="auto" w:fill="FFFFFF"/>
        </w:rPr>
        <w:t>Kirkham, 2012)</w:t>
      </w:r>
      <w:r>
        <w:t xml:space="preserve">. In most cases, the current ratio is used by the investors and creditors in assessing the ability of the company to pay its current liabilities. </w:t>
      </w:r>
    </w:p>
    <w:p w:rsidR="00D25197" w:rsidRPr="001234C5" w:rsidRDefault="00AF4D6B" w:rsidP="00D25197">
      <w:pPr>
        <w:jc w:val="center"/>
        <w:rPr>
          <w:b/>
        </w:rPr>
      </w:pPr>
      <w:r w:rsidRPr="001234C5">
        <w:rPr>
          <w:b/>
        </w:rPr>
        <w:t>EPC Current Ratio</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3"/>
        <w:gridCol w:w="2293"/>
        <w:gridCol w:w="2293"/>
      </w:tblGrid>
      <w:tr w:rsidR="003C0A3F" w:rsidTr="00545CB1">
        <w:trPr>
          <w:trHeight w:val="187"/>
          <w:jc w:val="center"/>
        </w:trPr>
        <w:tc>
          <w:tcPr>
            <w:tcW w:w="2293" w:type="dxa"/>
            <w:tcBorders>
              <w:top w:val="single" w:sz="4" w:space="0" w:color="auto"/>
              <w:bottom w:val="single" w:sz="4" w:space="0" w:color="auto"/>
            </w:tcBorders>
          </w:tcPr>
          <w:p w:rsidR="00D25197" w:rsidRDefault="00D25197" w:rsidP="00D25197">
            <w:pPr>
              <w:jc w:val="center"/>
            </w:pPr>
          </w:p>
        </w:tc>
        <w:tc>
          <w:tcPr>
            <w:tcW w:w="2293" w:type="dxa"/>
            <w:tcBorders>
              <w:top w:val="single" w:sz="4" w:space="0" w:color="auto"/>
              <w:bottom w:val="single" w:sz="4" w:space="0" w:color="auto"/>
            </w:tcBorders>
          </w:tcPr>
          <w:p w:rsidR="00D25197" w:rsidRPr="00545F06" w:rsidRDefault="00AF4D6B" w:rsidP="00D25197">
            <w:pPr>
              <w:jc w:val="center"/>
              <w:rPr>
                <w:b/>
              </w:rPr>
            </w:pPr>
            <w:r>
              <w:rPr>
                <w:b/>
              </w:rPr>
              <w:t>2015</w:t>
            </w:r>
          </w:p>
        </w:tc>
        <w:tc>
          <w:tcPr>
            <w:tcW w:w="2293" w:type="dxa"/>
            <w:tcBorders>
              <w:top w:val="single" w:sz="4" w:space="0" w:color="auto"/>
              <w:bottom w:val="single" w:sz="4" w:space="0" w:color="auto"/>
            </w:tcBorders>
          </w:tcPr>
          <w:p w:rsidR="00D25197" w:rsidRPr="00545F06" w:rsidRDefault="00AF4D6B" w:rsidP="00D25197">
            <w:pPr>
              <w:jc w:val="center"/>
              <w:rPr>
                <w:b/>
              </w:rPr>
            </w:pPr>
            <w:r>
              <w:rPr>
                <w:b/>
              </w:rPr>
              <w:t>2016</w:t>
            </w:r>
          </w:p>
        </w:tc>
      </w:tr>
      <w:tr w:rsidR="003C0A3F" w:rsidTr="00545CB1">
        <w:trPr>
          <w:trHeight w:val="187"/>
          <w:jc w:val="center"/>
        </w:trPr>
        <w:tc>
          <w:tcPr>
            <w:tcW w:w="2293" w:type="dxa"/>
            <w:tcBorders>
              <w:top w:val="single" w:sz="4" w:space="0" w:color="auto"/>
            </w:tcBorders>
          </w:tcPr>
          <w:p w:rsidR="00D25197" w:rsidRDefault="00AF4D6B" w:rsidP="00D25197">
            <w:r>
              <w:t>Current Asset</w:t>
            </w:r>
          </w:p>
        </w:tc>
        <w:tc>
          <w:tcPr>
            <w:tcW w:w="2293" w:type="dxa"/>
            <w:tcBorders>
              <w:top w:val="single" w:sz="4" w:space="0" w:color="auto"/>
            </w:tcBorders>
          </w:tcPr>
          <w:p w:rsidR="00D25197" w:rsidRDefault="00AF4D6B" w:rsidP="00D25197">
            <w:pPr>
              <w:jc w:val="center"/>
            </w:pPr>
            <w:r>
              <w:t>1452</w:t>
            </w:r>
            <w:r w:rsidR="00545CB1">
              <w:t>.00</w:t>
            </w:r>
          </w:p>
        </w:tc>
        <w:tc>
          <w:tcPr>
            <w:tcW w:w="2293" w:type="dxa"/>
            <w:tcBorders>
              <w:top w:val="single" w:sz="4" w:space="0" w:color="auto"/>
            </w:tcBorders>
          </w:tcPr>
          <w:p w:rsidR="00D25197" w:rsidRDefault="00AF4D6B" w:rsidP="00D25197">
            <w:pPr>
              <w:jc w:val="center"/>
            </w:pPr>
            <w:r>
              <w:t>1636.6</w:t>
            </w:r>
            <w:r w:rsidR="00545CB1">
              <w:t>0</w:t>
            </w:r>
          </w:p>
        </w:tc>
      </w:tr>
      <w:tr w:rsidR="003C0A3F" w:rsidTr="00545CB1">
        <w:trPr>
          <w:trHeight w:val="198"/>
          <w:jc w:val="center"/>
        </w:trPr>
        <w:tc>
          <w:tcPr>
            <w:tcW w:w="2293" w:type="dxa"/>
            <w:tcBorders>
              <w:bottom w:val="single" w:sz="4" w:space="0" w:color="auto"/>
            </w:tcBorders>
          </w:tcPr>
          <w:p w:rsidR="00D25197" w:rsidRDefault="00AF4D6B" w:rsidP="00D25197">
            <w:r>
              <w:t>Current Liability</w:t>
            </w:r>
          </w:p>
        </w:tc>
        <w:tc>
          <w:tcPr>
            <w:tcW w:w="2293" w:type="dxa"/>
            <w:tcBorders>
              <w:bottom w:val="single" w:sz="4" w:space="0" w:color="auto"/>
            </w:tcBorders>
          </w:tcPr>
          <w:p w:rsidR="00D25197" w:rsidRDefault="00AF4D6B" w:rsidP="00D25197">
            <w:pPr>
              <w:jc w:val="center"/>
            </w:pPr>
            <w:r>
              <w:t>868.2</w:t>
            </w:r>
            <w:r w:rsidR="00545CB1">
              <w:t>0</w:t>
            </w:r>
          </w:p>
        </w:tc>
        <w:tc>
          <w:tcPr>
            <w:tcW w:w="2293" w:type="dxa"/>
            <w:tcBorders>
              <w:bottom w:val="single" w:sz="4" w:space="0" w:color="auto"/>
            </w:tcBorders>
          </w:tcPr>
          <w:p w:rsidR="00D25197" w:rsidRDefault="00AF4D6B" w:rsidP="00D25197">
            <w:pPr>
              <w:jc w:val="center"/>
            </w:pPr>
            <w:r>
              <w:t>1600.8</w:t>
            </w:r>
            <w:r w:rsidR="00545CB1">
              <w:t>0</w:t>
            </w:r>
          </w:p>
        </w:tc>
      </w:tr>
      <w:tr w:rsidR="00545CB1" w:rsidTr="00545CB1">
        <w:trPr>
          <w:trHeight w:val="198"/>
          <w:jc w:val="center"/>
        </w:trPr>
        <w:tc>
          <w:tcPr>
            <w:tcW w:w="2293" w:type="dxa"/>
            <w:tcBorders>
              <w:top w:val="single" w:sz="4" w:space="0" w:color="auto"/>
            </w:tcBorders>
          </w:tcPr>
          <w:p w:rsidR="00545CB1" w:rsidRDefault="00545CB1" w:rsidP="001234C5">
            <w:pPr>
              <w:spacing w:line="480" w:lineRule="auto"/>
            </w:pPr>
            <w:r>
              <w:t>Current Ratio</w:t>
            </w:r>
          </w:p>
        </w:tc>
        <w:tc>
          <w:tcPr>
            <w:tcW w:w="2293" w:type="dxa"/>
            <w:tcBorders>
              <w:top w:val="single" w:sz="4" w:space="0" w:color="auto"/>
            </w:tcBorders>
          </w:tcPr>
          <w:p w:rsidR="00545CB1" w:rsidRDefault="00545CB1" w:rsidP="001234C5">
            <w:pPr>
              <w:tabs>
                <w:tab w:val="center" w:pos="1021"/>
              </w:tabs>
              <w:spacing w:line="480" w:lineRule="auto"/>
            </w:pPr>
            <w:r>
              <w:tab/>
              <w:t>1.47</w:t>
            </w:r>
          </w:p>
        </w:tc>
        <w:tc>
          <w:tcPr>
            <w:tcW w:w="2293" w:type="dxa"/>
            <w:tcBorders>
              <w:top w:val="single" w:sz="4" w:space="0" w:color="auto"/>
            </w:tcBorders>
          </w:tcPr>
          <w:p w:rsidR="00545CB1" w:rsidRDefault="00545CB1" w:rsidP="001234C5">
            <w:pPr>
              <w:keepNext/>
              <w:spacing w:line="480" w:lineRule="auto"/>
              <w:jc w:val="center"/>
            </w:pPr>
            <w:r>
              <w:t>1.00</w:t>
            </w:r>
          </w:p>
        </w:tc>
      </w:tr>
    </w:tbl>
    <w:p w:rsidR="00D25197" w:rsidRPr="00545CB1" w:rsidRDefault="00AF4D6B" w:rsidP="001234C5">
      <w:pPr>
        <w:pStyle w:val="af"/>
        <w:spacing w:line="480" w:lineRule="auto"/>
        <w:rPr>
          <w:b w:val="0"/>
          <w:color w:val="auto"/>
          <w:sz w:val="24"/>
          <w:szCs w:val="24"/>
        </w:rPr>
      </w:pPr>
      <w:r w:rsidRPr="00545CB1">
        <w:rPr>
          <w:b w:val="0"/>
          <w:color w:val="auto"/>
          <w:sz w:val="24"/>
          <w:szCs w:val="24"/>
        </w:rPr>
        <w:t xml:space="preserve">Table </w:t>
      </w:r>
      <w:r w:rsidR="00E24A2D">
        <w:rPr>
          <w:b w:val="0"/>
          <w:color w:val="auto"/>
          <w:sz w:val="24"/>
          <w:szCs w:val="24"/>
        </w:rPr>
        <w:t>8</w:t>
      </w:r>
      <w:r w:rsidRPr="00545CB1">
        <w:rPr>
          <w:b w:val="0"/>
          <w:color w:val="auto"/>
          <w:sz w:val="24"/>
          <w:szCs w:val="24"/>
        </w:rPr>
        <w:t xml:space="preserve"> </w:t>
      </w:r>
      <w:r w:rsidRPr="00E24A2D">
        <w:rPr>
          <w:b w:val="0"/>
          <w:i/>
          <w:color w:val="auto"/>
          <w:sz w:val="24"/>
          <w:szCs w:val="24"/>
        </w:rPr>
        <w:t>EPC Company Current Ratio</w:t>
      </w:r>
    </w:p>
    <w:p w:rsidR="00D25197" w:rsidRPr="00E24A2D" w:rsidRDefault="00AF4D6B" w:rsidP="00D25197">
      <w:pPr>
        <w:jc w:val="center"/>
        <w:rPr>
          <w:b/>
        </w:rPr>
      </w:pPr>
      <w:r w:rsidRPr="00E24A2D">
        <w:rPr>
          <w:b/>
        </w:rPr>
        <w:t>P&amp;G Company Current Ratio</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9"/>
        <w:gridCol w:w="2309"/>
        <w:gridCol w:w="2309"/>
      </w:tblGrid>
      <w:tr w:rsidR="003C0A3F" w:rsidTr="00D25197">
        <w:trPr>
          <w:trHeight w:val="268"/>
          <w:jc w:val="center"/>
        </w:trPr>
        <w:tc>
          <w:tcPr>
            <w:tcW w:w="2309" w:type="dxa"/>
            <w:tcBorders>
              <w:top w:val="single" w:sz="4" w:space="0" w:color="auto"/>
              <w:bottom w:val="single" w:sz="4" w:space="0" w:color="auto"/>
            </w:tcBorders>
          </w:tcPr>
          <w:p w:rsidR="00D25197" w:rsidRDefault="00D25197" w:rsidP="00D25197">
            <w:pPr>
              <w:jc w:val="center"/>
            </w:pPr>
          </w:p>
        </w:tc>
        <w:tc>
          <w:tcPr>
            <w:tcW w:w="2309" w:type="dxa"/>
            <w:tcBorders>
              <w:top w:val="single" w:sz="4" w:space="0" w:color="auto"/>
              <w:bottom w:val="single" w:sz="4" w:space="0" w:color="auto"/>
            </w:tcBorders>
          </w:tcPr>
          <w:p w:rsidR="00D25197" w:rsidRPr="00545F06" w:rsidRDefault="00AF4D6B" w:rsidP="00D25197">
            <w:pPr>
              <w:jc w:val="center"/>
              <w:rPr>
                <w:b/>
              </w:rPr>
            </w:pPr>
            <w:r>
              <w:rPr>
                <w:b/>
              </w:rPr>
              <w:t>2015</w:t>
            </w:r>
          </w:p>
        </w:tc>
        <w:tc>
          <w:tcPr>
            <w:tcW w:w="2309" w:type="dxa"/>
            <w:tcBorders>
              <w:top w:val="single" w:sz="4" w:space="0" w:color="auto"/>
              <w:bottom w:val="single" w:sz="4" w:space="0" w:color="auto"/>
            </w:tcBorders>
          </w:tcPr>
          <w:p w:rsidR="00D25197" w:rsidRPr="00545F06" w:rsidRDefault="00AF4D6B" w:rsidP="00D25197">
            <w:pPr>
              <w:jc w:val="center"/>
              <w:rPr>
                <w:b/>
              </w:rPr>
            </w:pPr>
            <w:r>
              <w:rPr>
                <w:b/>
              </w:rPr>
              <w:t>2016</w:t>
            </w:r>
          </w:p>
        </w:tc>
      </w:tr>
      <w:tr w:rsidR="003C0A3F" w:rsidTr="00D25197">
        <w:trPr>
          <w:trHeight w:val="268"/>
          <w:jc w:val="center"/>
        </w:trPr>
        <w:tc>
          <w:tcPr>
            <w:tcW w:w="2309" w:type="dxa"/>
            <w:tcBorders>
              <w:top w:val="single" w:sz="4" w:space="0" w:color="auto"/>
            </w:tcBorders>
          </w:tcPr>
          <w:p w:rsidR="00D25197" w:rsidRDefault="00AF4D6B" w:rsidP="00D25197">
            <w:r>
              <w:t>Current Asset</w:t>
            </w:r>
          </w:p>
        </w:tc>
        <w:tc>
          <w:tcPr>
            <w:tcW w:w="2309" w:type="dxa"/>
            <w:tcBorders>
              <w:top w:val="single" w:sz="4" w:space="0" w:color="auto"/>
            </w:tcBorders>
          </w:tcPr>
          <w:p w:rsidR="00D25197" w:rsidRDefault="00AF4D6B" w:rsidP="00D25197">
            <w:pPr>
              <w:jc w:val="center"/>
            </w:pPr>
            <w:r>
              <w:t>74475</w:t>
            </w:r>
            <w:r w:rsidR="00E24A2D">
              <w:t>.00</w:t>
            </w:r>
          </w:p>
        </w:tc>
        <w:tc>
          <w:tcPr>
            <w:tcW w:w="2309" w:type="dxa"/>
            <w:tcBorders>
              <w:top w:val="single" w:sz="4" w:space="0" w:color="auto"/>
            </w:tcBorders>
          </w:tcPr>
          <w:p w:rsidR="00D25197" w:rsidRDefault="00AF4D6B" w:rsidP="00D25197">
            <w:pPr>
              <w:jc w:val="center"/>
            </w:pPr>
            <w:r>
              <w:t>61232</w:t>
            </w:r>
            <w:r w:rsidR="00E24A2D">
              <w:t>.00</w:t>
            </w:r>
          </w:p>
        </w:tc>
      </w:tr>
      <w:tr w:rsidR="003C0A3F" w:rsidTr="00D25197">
        <w:trPr>
          <w:trHeight w:val="284"/>
          <w:jc w:val="center"/>
        </w:trPr>
        <w:tc>
          <w:tcPr>
            <w:tcW w:w="2309" w:type="dxa"/>
            <w:tcBorders>
              <w:bottom w:val="single" w:sz="4" w:space="0" w:color="auto"/>
            </w:tcBorders>
          </w:tcPr>
          <w:p w:rsidR="00D25197" w:rsidRDefault="00AF4D6B" w:rsidP="00D25197">
            <w:r>
              <w:t>Current Liability</w:t>
            </w:r>
          </w:p>
        </w:tc>
        <w:tc>
          <w:tcPr>
            <w:tcW w:w="2309" w:type="dxa"/>
            <w:tcBorders>
              <w:bottom w:val="single" w:sz="4" w:space="0" w:color="auto"/>
            </w:tcBorders>
          </w:tcPr>
          <w:p w:rsidR="00D25197" w:rsidRDefault="00AF4D6B" w:rsidP="00D25197">
            <w:pPr>
              <w:jc w:val="center"/>
            </w:pPr>
            <w:r>
              <w:t>29790</w:t>
            </w:r>
            <w:r w:rsidR="00E24A2D">
              <w:t>.00</w:t>
            </w:r>
          </w:p>
        </w:tc>
        <w:tc>
          <w:tcPr>
            <w:tcW w:w="2309" w:type="dxa"/>
            <w:tcBorders>
              <w:bottom w:val="single" w:sz="4" w:space="0" w:color="auto"/>
            </w:tcBorders>
          </w:tcPr>
          <w:p w:rsidR="00D25197" w:rsidRDefault="00AF4D6B" w:rsidP="00D25197">
            <w:pPr>
              <w:jc w:val="center"/>
            </w:pPr>
            <w:r>
              <w:t>30770</w:t>
            </w:r>
            <w:r w:rsidR="00E24A2D">
              <w:t>.00</w:t>
            </w:r>
          </w:p>
        </w:tc>
      </w:tr>
      <w:tr w:rsidR="003C0A3F" w:rsidTr="00D25197">
        <w:trPr>
          <w:trHeight w:val="284"/>
          <w:jc w:val="center"/>
        </w:trPr>
        <w:tc>
          <w:tcPr>
            <w:tcW w:w="2309" w:type="dxa"/>
            <w:tcBorders>
              <w:top w:val="single" w:sz="4" w:space="0" w:color="auto"/>
            </w:tcBorders>
          </w:tcPr>
          <w:p w:rsidR="00D25197" w:rsidRDefault="00AF4D6B" w:rsidP="00E24A2D">
            <w:pPr>
              <w:spacing w:line="480" w:lineRule="auto"/>
            </w:pPr>
            <w:r>
              <w:t>Current Ratio</w:t>
            </w:r>
          </w:p>
        </w:tc>
        <w:tc>
          <w:tcPr>
            <w:tcW w:w="2309" w:type="dxa"/>
            <w:tcBorders>
              <w:top w:val="single" w:sz="4" w:space="0" w:color="auto"/>
            </w:tcBorders>
          </w:tcPr>
          <w:p w:rsidR="00D25197" w:rsidRDefault="00AF4D6B" w:rsidP="00E24A2D">
            <w:pPr>
              <w:spacing w:line="480" w:lineRule="auto"/>
              <w:jc w:val="center"/>
            </w:pPr>
            <w:r>
              <w:t>2.5</w:t>
            </w:r>
            <w:r w:rsidR="00E24A2D">
              <w:t>0</w:t>
            </w:r>
          </w:p>
        </w:tc>
        <w:tc>
          <w:tcPr>
            <w:tcW w:w="2309" w:type="dxa"/>
            <w:tcBorders>
              <w:top w:val="single" w:sz="4" w:space="0" w:color="auto"/>
            </w:tcBorders>
          </w:tcPr>
          <w:p w:rsidR="00D25197" w:rsidRDefault="00AF4D6B" w:rsidP="00E24A2D">
            <w:pPr>
              <w:keepNext/>
              <w:spacing w:line="480" w:lineRule="auto"/>
              <w:jc w:val="center"/>
            </w:pPr>
            <w:r>
              <w:t>1.99</w:t>
            </w:r>
          </w:p>
        </w:tc>
      </w:tr>
    </w:tbl>
    <w:p w:rsidR="00D25197" w:rsidRPr="00E24A2D" w:rsidRDefault="00AF4D6B" w:rsidP="00E24A2D">
      <w:pPr>
        <w:pStyle w:val="af"/>
        <w:spacing w:line="480" w:lineRule="auto"/>
        <w:rPr>
          <w:b w:val="0"/>
          <w:color w:val="auto"/>
          <w:sz w:val="24"/>
          <w:szCs w:val="24"/>
        </w:rPr>
      </w:pPr>
      <w:r w:rsidRPr="00E24A2D">
        <w:rPr>
          <w:b w:val="0"/>
          <w:color w:val="auto"/>
          <w:sz w:val="24"/>
          <w:szCs w:val="24"/>
        </w:rPr>
        <w:t xml:space="preserve">Table </w:t>
      </w:r>
      <w:r w:rsidR="00E24A2D">
        <w:rPr>
          <w:b w:val="0"/>
          <w:color w:val="auto"/>
          <w:sz w:val="24"/>
          <w:szCs w:val="24"/>
        </w:rPr>
        <w:t>9</w:t>
      </w:r>
      <w:r w:rsidRPr="00E24A2D">
        <w:rPr>
          <w:b w:val="0"/>
          <w:color w:val="auto"/>
          <w:sz w:val="24"/>
          <w:szCs w:val="24"/>
        </w:rPr>
        <w:t xml:space="preserve"> </w:t>
      </w:r>
      <w:r w:rsidRPr="00E24A2D">
        <w:rPr>
          <w:b w:val="0"/>
          <w:i/>
          <w:color w:val="auto"/>
          <w:sz w:val="24"/>
          <w:szCs w:val="24"/>
        </w:rPr>
        <w:t>P&amp;G Company Current Ratio</w:t>
      </w:r>
    </w:p>
    <w:p w:rsidR="00D25197" w:rsidRDefault="00AF4D6B" w:rsidP="00D25197">
      <w:pPr>
        <w:ind w:firstLine="720"/>
        <w:jc w:val="both"/>
      </w:pPr>
      <w:r>
        <w:t xml:space="preserve">Since current ratio demonstrates the financial stability of the company, P&amp;G Company is in a better financial position compared to the EPC. The high current ratio of P&amp;G resulted from the Beauty Brands assets and liability which were held for sale on the closing date. In this case, the company recorded the Beauty Brand transaction for assets and liability. Thus, they were reported on the Consolidated Balance Sheets. The firm will be considered to be healthy </w:t>
      </w:r>
      <w:r w:rsidR="00B76A62">
        <w:t>and</w:t>
      </w:r>
      <w:r>
        <w:t xml:space="preserve"> perform well when the liquidity ratio is ranging between 1 and 3. Thus, P&amp;G Company is more liquid compared to EPC. </w:t>
      </w:r>
    </w:p>
    <w:p w:rsidR="00D25197" w:rsidRPr="00BA1A0D" w:rsidRDefault="00AF4D6B" w:rsidP="00BA1A0D">
      <w:pPr>
        <w:rPr>
          <w:b/>
        </w:rPr>
      </w:pPr>
      <w:r w:rsidRPr="00BA1A0D">
        <w:rPr>
          <w:b/>
        </w:rPr>
        <w:lastRenderedPageBreak/>
        <w:t>Acid-Test Ratio</w:t>
      </w:r>
    </w:p>
    <w:p w:rsidR="00D25197" w:rsidRDefault="00AF4D6B" w:rsidP="00D25197">
      <w:pPr>
        <w:ind w:firstLine="720"/>
        <w:jc w:val="both"/>
      </w:pPr>
      <w:r>
        <w:t xml:space="preserve">The ratio will measure the capacity of the two firms to settle their current liabilities using the quick assets. In this case, quick assets include all assets that can be converted into cash within or less than 90 days. According to the balance sheet elements of EPC and P&amp;G Company, quick assets include account receivables, short-term investments, and cash equivalents.  </w:t>
      </w:r>
    </w:p>
    <w:p w:rsidR="00D25197" w:rsidRDefault="00AF4D6B" w:rsidP="00D25197">
      <w:pPr>
        <w:jc w:val="both"/>
      </w:pPr>
      <w:r>
        <w:t>Acid-Test Ratio = Quick Assets/Current Liabilities</w:t>
      </w:r>
    </w:p>
    <w:p w:rsidR="00D25197" w:rsidRDefault="00AF4D6B" w:rsidP="00D25197">
      <w:pPr>
        <w:jc w:val="both"/>
      </w:pPr>
      <w:r>
        <w:t>Quick assets = Current Assets-Inventories</w:t>
      </w:r>
    </w:p>
    <w:p w:rsidR="00D25197" w:rsidRPr="00F429FB" w:rsidRDefault="00AF4D6B" w:rsidP="00D25197">
      <w:pPr>
        <w:jc w:val="center"/>
        <w:rPr>
          <w:b/>
        </w:rPr>
      </w:pPr>
      <w:r w:rsidRPr="00F429FB">
        <w:rPr>
          <w:b/>
        </w:rPr>
        <w:t>P&amp;G Company Acid-Test Ratio</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0"/>
        <w:gridCol w:w="2450"/>
        <w:gridCol w:w="2450"/>
      </w:tblGrid>
      <w:tr w:rsidR="003C0A3F" w:rsidTr="00D25197">
        <w:trPr>
          <w:trHeight w:val="267"/>
          <w:jc w:val="center"/>
        </w:trPr>
        <w:tc>
          <w:tcPr>
            <w:tcW w:w="2450" w:type="dxa"/>
            <w:tcBorders>
              <w:top w:val="single" w:sz="4" w:space="0" w:color="auto"/>
              <w:bottom w:val="single" w:sz="4" w:space="0" w:color="auto"/>
            </w:tcBorders>
          </w:tcPr>
          <w:p w:rsidR="00D25197" w:rsidRDefault="00D25197" w:rsidP="00D25197">
            <w:pPr>
              <w:jc w:val="both"/>
            </w:pPr>
          </w:p>
        </w:tc>
        <w:tc>
          <w:tcPr>
            <w:tcW w:w="2450" w:type="dxa"/>
            <w:tcBorders>
              <w:top w:val="single" w:sz="4" w:space="0" w:color="auto"/>
              <w:bottom w:val="single" w:sz="4" w:space="0" w:color="auto"/>
            </w:tcBorders>
          </w:tcPr>
          <w:p w:rsidR="00D25197" w:rsidRPr="00FF5877" w:rsidRDefault="00AF4D6B" w:rsidP="00D25197">
            <w:pPr>
              <w:jc w:val="both"/>
              <w:rPr>
                <w:b/>
              </w:rPr>
            </w:pPr>
            <w:r w:rsidRPr="00FF5877">
              <w:rPr>
                <w:b/>
              </w:rPr>
              <w:t>2015</w:t>
            </w:r>
          </w:p>
        </w:tc>
        <w:tc>
          <w:tcPr>
            <w:tcW w:w="2450" w:type="dxa"/>
            <w:tcBorders>
              <w:top w:val="single" w:sz="4" w:space="0" w:color="auto"/>
              <w:bottom w:val="single" w:sz="4" w:space="0" w:color="auto"/>
            </w:tcBorders>
          </w:tcPr>
          <w:p w:rsidR="00D25197" w:rsidRPr="00FF5877" w:rsidRDefault="00AF4D6B" w:rsidP="00D25197">
            <w:pPr>
              <w:jc w:val="both"/>
              <w:rPr>
                <w:b/>
              </w:rPr>
            </w:pPr>
            <w:r w:rsidRPr="00FF5877">
              <w:rPr>
                <w:b/>
              </w:rPr>
              <w:t>2016</w:t>
            </w:r>
          </w:p>
        </w:tc>
      </w:tr>
      <w:tr w:rsidR="003C0A3F" w:rsidTr="00D25197">
        <w:trPr>
          <w:trHeight w:val="267"/>
          <w:jc w:val="center"/>
        </w:trPr>
        <w:tc>
          <w:tcPr>
            <w:tcW w:w="2450" w:type="dxa"/>
            <w:tcBorders>
              <w:top w:val="single" w:sz="4" w:space="0" w:color="auto"/>
            </w:tcBorders>
          </w:tcPr>
          <w:p w:rsidR="00D25197" w:rsidRDefault="00AF4D6B" w:rsidP="00D25197">
            <w:pPr>
              <w:jc w:val="both"/>
            </w:pPr>
            <w:r>
              <w:t>Current Assets</w:t>
            </w:r>
          </w:p>
        </w:tc>
        <w:tc>
          <w:tcPr>
            <w:tcW w:w="2450" w:type="dxa"/>
            <w:tcBorders>
              <w:top w:val="single" w:sz="4" w:space="0" w:color="auto"/>
            </w:tcBorders>
          </w:tcPr>
          <w:p w:rsidR="00D25197" w:rsidRDefault="00AF4D6B" w:rsidP="00D25197">
            <w:pPr>
              <w:jc w:val="both"/>
            </w:pPr>
            <w:r>
              <w:t>74475</w:t>
            </w:r>
            <w:r w:rsidR="00977276">
              <w:t>.0</w:t>
            </w:r>
          </w:p>
        </w:tc>
        <w:tc>
          <w:tcPr>
            <w:tcW w:w="2450" w:type="dxa"/>
            <w:tcBorders>
              <w:top w:val="single" w:sz="4" w:space="0" w:color="auto"/>
            </w:tcBorders>
          </w:tcPr>
          <w:p w:rsidR="00D25197" w:rsidRDefault="00AF4D6B" w:rsidP="00D25197">
            <w:pPr>
              <w:jc w:val="both"/>
            </w:pPr>
            <w:r>
              <w:t>61232</w:t>
            </w:r>
            <w:r w:rsidR="00977276">
              <w:t>.0</w:t>
            </w:r>
          </w:p>
        </w:tc>
      </w:tr>
      <w:tr w:rsidR="003C0A3F" w:rsidTr="00D25197">
        <w:trPr>
          <w:trHeight w:val="267"/>
          <w:jc w:val="center"/>
        </w:trPr>
        <w:tc>
          <w:tcPr>
            <w:tcW w:w="2450" w:type="dxa"/>
            <w:tcBorders>
              <w:bottom w:val="single" w:sz="4" w:space="0" w:color="auto"/>
            </w:tcBorders>
          </w:tcPr>
          <w:p w:rsidR="00D25197" w:rsidRDefault="00AF4D6B" w:rsidP="00D25197">
            <w:pPr>
              <w:jc w:val="both"/>
            </w:pPr>
            <w:r>
              <w:t>Inventories</w:t>
            </w:r>
          </w:p>
        </w:tc>
        <w:tc>
          <w:tcPr>
            <w:tcW w:w="2450" w:type="dxa"/>
            <w:tcBorders>
              <w:bottom w:val="single" w:sz="4" w:space="0" w:color="auto"/>
            </w:tcBorders>
          </w:tcPr>
          <w:p w:rsidR="00D25197" w:rsidRDefault="00AF4D6B" w:rsidP="00D25197">
            <w:pPr>
              <w:jc w:val="both"/>
            </w:pPr>
            <w:r>
              <w:t>29790</w:t>
            </w:r>
            <w:r w:rsidR="00977276">
              <w:t>.0</w:t>
            </w:r>
          </w:p>
        </w:tc>
        <w:tc>
          <w:tcPr>
            <w:tcW w:w="2450" w:type="dxa"/>
            <w:tcBorders>
              <w:bottom w:val="single" w:sz="4" w:space="0" w:color="auto"/>
            </w:tcBorders>
          </w:tcPr>
          <w:p w:rsidR="00D25197" w:rsidRDefault="00AF4D6B" w:rsidP="00D25197">
            <w:pPr>
              <w:jc w:val="both"/>
            </w:pPr>
            <w:r>
              <w:t>0</w:t>
            </w:r>
            <w:r w:rsidR="00977276">
              <w:t>.0</w:t>
            </w:r>
          </w:p>
        </w:tc>
      </w:tr>
      <w:tr w:rsidR="003C0A3F" w:rsidTr="00D25197">
        <w:trPr>
          <w:trHeight w:val="267"/>
          <w:jc w:val="center"/>
        </w:trPr>
        <w:tc>
          <w:tcPr>
            <w:tcW w:w="2450" w:type="dxa"/>
            <w:tcBorders>
              <w:top w:val="single" w:sz="4" w:space="0" w:color="auto"/>
            </w:tcBorders>
          </w:tcPr>
          <w:p w:rsidR="00D25197" w:rsidRDefault="00AF4D6B" w:rsidP="00D25197">
            <w:pPr>
              <w:jc w:val="both"/>
            </w:pPr>
            <w:r>
              <w:t>Quick Assets</w:t>
            </w:r>
          </w:p>
        </w:tc>
        <w:tc>
          <w:tcPr>
            <w:tcW w:w="2450" w:type="dxa"/>
            <w:tcBorders>
              <w:top w:val="single" w:sz="4" w:space="0" w:color="auto"/>
            </w:tcBorders>
          </w:tcPr>
          <w:p w:rsidR="00D25197" w:rsidRDefault="00AF4D6B" w:rsidP="00D25197">
            <w:pPr>
              <w:jc w:val="both"/>
            </w:pPr>
            <w:r>
              <w:t>44685</w:t>
            </w:r>
            <w:r w:rsidR="00977276">
              <w:t>.0</w:t>
            </w:r>
          </w:p>
        </w:tc>
        <w:tc>
          <w:tcPr>
            <w:tcW w:w="2450" w:type="dxa"/>
            <w:tcBorders>
              <w:top w:val="single" w:sz="4" w:space="0" w:color="auto"/>
            </w:tcBorders>
          </w:tcPr>
          <w:p w:rsidR="00D25197" w:rsidRDefault="00AF4D6B" w:rsidP="00D25197">
            <w:pPr>
              <w:jc w:val="both"/>
            </w:pPr>
            <w:r>
              <w:t>61540</w:t>
            </w:r>
            <w:r w:rsidR="00977276">
              <w:t>.0</w:t>
            </w:r>
          </w:p>
        </w:tc>
      </w:tr>
      <w:tr w:rsidR="003C0A3F" w:rsidTr="00D25197">
        <w:trPr>
          <w:trHeight w:val="282"/>
          <w:jc w:val="center"/>
        </w:trPr>
        <w:tc>
          <w:tcPr>
            <w:tcW w:w="2450" w:type="dxa"/>
            <w:tcBorders>
              <w:bottom w:val="single" w:sz="4" w:space="0" w:color="auto"/>
            </w:tcBorders>
          </w:tcPr>
          <w:p w:rsidR="00D25197" w:rsidRDefault="00AF4D6B" w:rsidP="00D25197">
            <w:pPr>
              <w:jc w:val="both"/>
            </w:pPr>
            <w:r>
              <w:t>Current Liabilities</w:t>
            </w:r>
          </w:p>
        </w:tc>
        <w:tc>
          <w:tcPr>
            <w:tcW w:w="2450" w:type="dxa"/>
            <w:tcBorders>
              <w:bottom w:val="single" w:sz="4" w:space="0" w:color="auto"/>
            </w:tcBorders>
          </w:tcPr>
          <w:p w:rsidR="00D25197" w:rsidRDefault="00AF4D6B" w:rsidP="00D25197">
            <w:pPr>
              <w:jc w:val="both"/>
            </w:pPr>
            <w:r>
              <w:t>29790</w:t>
            </w:r>
            <w:r w:rsidR="00977276">
              <w:t>.0</w:t>
            </w:r>
          </w:p>
        </w:tc>
        <w:tc>
          <w:tcPr>
            <w:tcW w:w="2450" w:type="dxa"/>
            <w:tcBorders>
              <w:bottom w:val="single" w:sz="4" w:space="0" w:color="auto"/>
            </w:tcBorders>
          </w:tcPr>
          <w:p w:rsidR="00D25197" w:rsidRDefault="00AF4D6B" w:rsidP="00D25197">
            <w:pPr>
              <w:jc w:val="both"/>
            </w:pPr>
            <w:r>
              <w:t>30770</w:t>
            </w:r>
            <w:r w:rsidR="00977276">
              <w:t>.0</w:t>
            </w:r>
          </w:p>
        </w:tc>
      </w:tr>
      <w:tr w:rsidR="003C0A3F" w:rsidTr="00D25197">
        <w:trPr>
          <w:trHeight w:val="282"/>
          <w:jc w:val="center"/>
        </w:trPr>
        <w:tc>
          <w:tcPr>
            <w:tcW w:w="2450" w:type="dxa"/>
            <w:tcBorders>
              <w:top w:val="single" w:sz="4" w:space="0" w:color="auto"/>
            </w:tcBorders>
          </w:tcPr>
          <w:p w:rsidR="00D25197" w:rsidRDefault="00AF4D6B" w:rsidP="00F429FB">
            <w:pPr>
              <w:spacing w:line="480" w:lineRule="auto"/>
              <w:jc w:val="both"/>
            </w:pPr>
            <w:r>
              <w:t>Acid-Test Ratio</w:t>
            </w:r>
          </w:p>
        </w:tc>
        <w:tc>
          <w:tcPr>
            <w:tcW w:w="2450" w:type="dxa"/>
            <w:tcBorders>
              <w:top w:val="single" w:sz="4" w:space="0" w:color="auto"/>
            </w:tcBorders>
          </w:tcPr>
          <w:p w:rsidR="00D25197" w:rsidRDefault="00AF4D6B" w:rsidP="00F429FB">
            <w:pPr>
              <w:spacing w:line="480" w:lineRule="auto"/>
              <w:jc w:val="both"/>
            </w:pPr>
            <w:r>
              <w:t>1.5</w:t>
            </w:r>
          </w:p>
        </w:tc>
        <w:tc>
          <w:tcPr>
            <w:tcW w:w="2450" w:type="dxa"/>
            <w:tcBorders>
              <w:top w:val="single" w:sz="4" w:space="0" w:color="auto"/>
            </w:tcBorders>
          </w:tcPr>
          <w:p w:rsidR="00D25197" w:rsidRDefault="00AF4D6B" w:rsidP="00F429FB">
            <w:pPr>
              <w:keepNext/>
              <w:spacing w:line="480" w:lineRule="auto"/>
              <w:jc w:val="both"/>
            </w:pPr>
            <w:r>
              <w:t>2</w:t>
            </w:r>
            <w:r w:rsidR="00977276">
              <w:t>.0</w:t>
            </w:r>
          </w:p>
        </w:tc>
      </w:tr>
    </w:tbl>
    <w:p w:rsidR="00D25197" w:rsidRPr="00F429FB" w:rsidRDefault="00AF4D6B" w:rsidP="00F429FB">
      <w:pPr>
        <w:pStyle w:val="af"/>
        <w:spacing w:line="480" w:lineRule="auto"/>
        <w:rPr>
          <w:b w:val="0"/>
          <w:color w:val="auto"/>
          <w:sz w:val="24"/>
          <w:szCs w:val="24"/>
        </w:rPr>
      </w:pPr>
      <w:r w:rsidRPr="00F429FB">
        <w:rPr>
          <w:b w:val="0"/>
          <w:color w:val="auto"/>
          <w:sz w:val="24"/>
          <w:szCs w:val="24"/>
        </w:rPr>
        <w:t xml:space="preserve">Table </w:t>
      </w:r>
      <w:r w:rsidR="00F429FB">
        <w:rPr>
          <w:b w:val="0"/>
          <w:color w:val="auto"/>
          <w:sz w:val="24"/>
          <w:szCs w:val="24"/>
        </w:rPr>
        <w:t>10</w:t>
      </w:r>
      <w:r w:rsidRPr="00F429FB">
        <w:rPr>
          <w:b w:val="0"/>
          <w:color w:val="auto"/>
          <w:sz w:val="24"/>
          <w:szCs w:val="24"/>
        </w:rPr>
        <w:t xml:space="preserve"> </w:t>
      </w:r>
      <w:r w:rsidRPr="00F429FB">
        <w:rPr>
          <w:b w:val="0"/>
          <w:i/>
          <w:color w:val="auto"/>
          <w:sz w:val="24"/>
          <w:szCs w:val="24"/>
        </w:rPr>
        <w:t>P&amp;G Acid-Test Ratio</w:t>
      </w:r>
    </w:p>
    <w:p w:rsidR="00D25197" w:rsidRPr="00F429FB" w:rsidRDefault="00AF4D6B" w:rsidP="00D25197">
      <w:pPr>
        <w:jc w:val="center"/>
        <w:rPr>
          <w:b/>
        </w:rPr>
      </w:pPr>
      <w:r w:rsidRPr="00F429FB">
        <w:rPr>
          <w:b/>
        </w:rPr>
        <w:t>EPC Acid-Test Ratio</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0"/>
        <w:gridCol w:w="2450"/>
        <w:gridCol w:w="2450"/>
      </w:tblGrid>
      <w:tr w:rsidR="003C0A3F" w:rsidTr="00D25197">
        <w:trPr>
          <w:trHeight w:val="267"/>
          <w:jc w:val="center"/>
        </w:trPr>
        <w:tc>
          <w:tcPr>
            <w:tcW w:w="2450" w:type="dxa"/>
            <w:tcBorders>
              <w:top w:val="single" w:sz="4" w:space="0" w:color="auto"/>
              <w:bottom w:val="single" w:sz="4" w:space="0" w:color="auto"/>
            </w:tcBorders>
          </w:tcPr>
          <w:p w:rsidR="00D25197" w:rsidRDefault="00D25197" w:rsidP="00D25197">
            <w:pPr>
              <w:jc w:val="both"/>
            </w:pPr>
          </w:p>
        </w:tc>
        <w:tc>
          <w:tcPr>
            <w:tcW w:w="2450" w:type="dxa"/>
            <w:tcBorders>
              <w:top w:val="single" w:sz="4" w:space="0" w:color="auto"/>
              <w:bottom w:val="single" w:sz="4" w:space="0" w:color="auto"/>
            </w:tcBorders>
          </w:tcPr>
          <w:p w:rsidR="00D25197" w:rsidRPr="00FF5877" w:rsidRDefault="00AF4D6B" w:rsidP="00D25197">
            <w:pPr>
              <w:jc w:val="both"/>
              <w:rPr>
                <w:b/>
              </w:rPr>
            </w:pPr>
            <w:r w:rsidRPr="00FF5877">
              <w:rPr>
                <w:b/>
              </w:rPr>
              <w:t>2015</w:t>
            </w:r>
          </w:p>
        </w:tc>
        <w:tc>
          <w:tcPr>
            <w:tcW w:w="2450" w:type="dxa"/>
            <w:tcBorders>
              <w:top w:val="single" w:sz="4" w:space="0" w:color="auto"/>
              <w:bottom w:val="single" w:sz="4" w:space="0" w:color="auto"/>
            </w:tcBorders>
          </w:tcPr>
          <w:p w:rsidR="00D25197" w:rsidRPr="00FF5877" w:rsidRDefault="00AF4D6B" w:rsidP="00D25197">
            <w:pPr>
              <w:jc w:val="both"/>
              <w:rPr>
                <w:b/>
              </w:rPr>
            </w:pPr>
            <w:r w:rsidRPr="00FF5877">
              <w:rPr>
                <w:b/>
              </w:rPr>
              <w:t>2016</w:t>
            </w:r>
          </w:p>
        </w:tc>
      </w:tr>
      <w:tr w:rsidR="003C0A3F" w:rsidTr="00D25197">
        <w:trPr>
          <w:trHeight w:val="267"/>
          <w:jc w:val="center"/>
        </w:trPr>
        <w:tc>
          <w:tcPr>
            <w:tcW w:w="2450" w:type="dxa"/>
            <w:tcBorders>
              <w:top w:val="single" w:sz="4" w:space="0" w:color="auto"/>
            </w:tcBorders>
          </w:tcPr>
          <w:p w:rsidR="00D25197" w:rsidRDefault="00AF4D6B" w:rsidP="00D25197">
            <w:pPr>
              <w:jc w:val="both"/>
            </w:pPr>
            <w:r>
              <w:t>Current Assets</w:t>
            </w:r>
          </w:p>
        </w:tc>
        <w:tc>
          <w:tcPr>
            <w:tcW w:w="2450" w:type="dxa"/>
            <w:tcBorders>
              <w:top w:val="single" w:sz="4" w:space="0" w:color="auto"/>
            </w:tcBorders>
          </w:tcPr>
          <w:p w:rsidR="00D25197" w:rsidRDefault="00AF4D6B" w:rsidP="00D25197">
            <w:pPr>
              <w:jc w:val="both"/>
            </w:pPr>
            <w:r>
              <w:t>1452</w:t>
            </w:r>
            <w:r w:rsidR="00977276">
              <w:t>.0</w:t>
            </w:r>
          </w:p>
        </w:tc>
        <w:tc>
          <w:tcPr>
            <w:tcW w:w="2450" w:type="dxa"/>
            <w:tcBorders>
              <w:top w:val="single" w:sz="4" w:space="0" w:color="auto"/>
            </w:tcBorders>
          </w:tcPr>
          <w:p w:rsidR="00D25197" w:rsidRDefault="00AF4D6B" w:rsidP="00D25197">
            <w:pPr>
              <w:jc w:val="both"/>
            </w:pPr>
            <w:r>
              <w:t>1636.6</w:t>
            </w:r>
          </w:p>
        </w:tc>
      </w:tr>
      <w:tr w:rsidR="003C0A3F" w:rsidTr="00D25197">
        <w:trPr>
          <w:trHeight w:val="267"/>
          <w:jc w:val="center"/>
        </w:trPr>
        <w:tc>
          <w:tcPr>
            <w:tcW w:w="2450" w:type="dxa"/>
            <w:tcBorders>
              <w:bottom w:val="single" w:sz="4" w:space="0" w:color="auto"/>
            </w:tcBorders>
          </w:tcPr>
          <w:p w:rsidR="00D25197" w:rsidRDefault="00AF4D6B" w:rsidP="00D25197">
            <w:pPr>
              <w:jc w:val="both"/>
            </w:pPr>
            <w:r>
              <w:t>Inventories</w:t>
            </w:r>
          </w:p>
        </w:tc>
        <w:tc>
          <w:tcPr>
            <w:tcW w:w="2450" w:type="dxa"/>
            <w:tcBorders>
              <w:bottom w:val="single" w:sz="4" w:space="0" w:color="auto"/>
            </w:tcBorders>
          </w:tcPr>
          <w:p w:rsidR="00D25197" w:rsidRDefault="00AF4D6B" w:rsidP="00D25197">
            <w:pPr>
              <w:jc w:val="both"/>
            </w:pPr>
            <w:r>
              <w:t>673</w:t>
            </w:r>
            <w:r w:rsidR="00977276">
              <w:t>.0</w:t>
            </w:r>
          </w:p>
        </w:tc>
        <w:tc>
          <w:tcPr>
            <w:tcW w:w="2450" w:type="dxa"/>
            <w:tcBorders>
              <w:bottom w:val="single" w:sz="4" w:space="0" w:color="auto"/>
            </w:tcBorders>
          </w:tcPr>
          <w:p w:rsidR="00D25197" w:rsidRDefault="00AF4D6B" w:rsidP="00D25197">
            <w:pPr>
              <w:jc w:val="both"/>
            </w:pPr>
            <w:r>
              <w:t>24308</w:t>
            </w:r>
            <w:r w:rsidR="00977276">
              <w:t>.0</w:t>
            </w:r>
          </w:p>
        </w:tc>
      </w:tr>
      <w:tr w:rsidR="003C0A3F" w:rsidTr="00D25197">
        <w:trPr>
          <w:trHeight w:val="267"/>
          <w:jc w:val="center"/>
        </w:trPr>
        <w:tc>
          <w:tcPr>
            <w:tcW w:w="2450" w:type="dxa"/>
            <w:tcBorders>
              <w:top w:val="single" w:sz="4" w:space="0" w:color="auto"/>
            </w:tcBorders>
          </w:tcPr>
          <w:p w:rsidR="00D25197" w:rsidRDefault="00AF4D6B" w:rsidP="00D25197">
            <w:pPr>
              <w:jc w:val="both"/>
            </w:pPr>
            <w:r>
              <w:t>Quick Assets</w:t>
            </w:r>
          </w:p>
        </w:tc>
        <w:tc>
          <w:tcPr>
            <w:tcW w:w="2450" w:type="dxa"/>
            <w:tcBorders>
              <w:top w:val="single" w:sz="4" w:space="0" w:color="auto"/>
            </w:tcBorders>
          </w:tcPr>
          <w:p w:rsidR="00D25197" w:rsidRDefault="00AF4D6B" w:rsidP="00D25197">
            <w:pPr>
              <w:jc w:val="both"/>
            </w:pPr>
            <w:r>
              <w:t>778</w:t>
            </w:r>
            <w:r w:rsidR="00977276">
              <w:t>.0</w:t>
            </w:r>
          </w:p>
        </w:tc>
        <w:tc>
          <w:tcPr>
            <w:tcW w:w="2450" w:type="dxa"/>
            <w:tcBorders>
              <w:top w:val="single" w:sz="4" w:space="0" w:color="auto"/>
            </w:tcBorders>
          </w:tcPr>
          <w:p w:rsidR="00D25197" w:rsidRDefault="00AF4D6B" w:rsidP="00D25197">
            <w:pPr>
              <w:jc w:val="both"/>
            </w:pPr>
            <w:r>
              <w:t>36924</w:t>
            </w:r>
            <w:r w:rsidR="00977276">
              <w:t>.0</w:t>
            </w:r>
          </w:p>
        </w:tc>
      </w:tr>
      <w:tr w:rsidR="003C0A3F" w:rsidTr="00D25197">
        <w:trPr>
          <w:trHeight w:val="282"/>
          <w:jc w:val="center"/>
        </w:trPr>
        <w:tc>
          <w:tcPr>
            <w:tcW w:w="2450" w:type="dxa"/>
            <w:tcBorders>
              <w:bottom w:val="single" w:sz="4" w:space="0" w:color="auto"/>
            </w:tcBorders>
          </w:tcPr>
          <w:p w:rsidR="00D25197" w:rsidRDefault="00AF4D6B" w:rsidP="00D25197">
            <w:pPr>
              <w:jc w:val="both"/>
            </w:pPr>
            <w:r>
              <w:t>Current Liabilities</w:t>
            </w:r>
          </w:p>
        </w:tc>
        <w:tc>
          <w:tcPr>
            <w:tcW w:w="2450" w:type="dxa"/>
            <w:tcBorders>
              <w:bottom w:val="single" w:sz="4" w:space="0" w:color="auto"/>
            </w:tcBorders>
          </w:tcPr>
          <w:p w:rsidR="00D25197" w:rsidRDefault="00AF4D6B" w:rsidP="00D25197">
            <w:pPr>
              <w:jc w:val="both"/>
            </w:pPr>
            <w:r>
              <w:t>868.2</w:t>
            </w:r>
          </w:p>
        </w:tc>
        <w:tc>
          <w:tcPr>
            <w:tcW w:w="2450" w:type="dxa"/>
            <w:tcBorders>
              <w:bottom w:val="single" w:sz="4" w:space="0" w:color="auto"/>
            </w:tcBorders>
          </w:tcPr>
          <w:p w:rsidR="00D25197" w:rsidRDefault="00AF4D6B" w:rsidP="00D25197">
            <w:pPr>
              <w:jc w:val="both"/>
            </w:pPr>
            <w:r>
              <w:t>1600.8</w:t>
            </w:r>
          </w:p>
        </w:tc>
      </w:tr>
      <w:tr w:rsidR="003C0A3F" w:rsidTr="00D25197">
        <w:trPr>
          <w:trHeight w:val="282"/>
          <w:jc w:val="center"/>
        </w:trPr>
        <w:tc>
          <w:tcPr>
            <w:tcW w:w="2450" w:type="dxa"/>
            <w:tcBorders>
              <w:top w:val="single" w:sz="4" w:space="0" w:color="auto"/>
            </w:tcBorders>
          </w:tcPr>
          <w:p w:rsidR="00D25197" w:rsidRDefault="00AF4D6B" w:rsidP="00F429FB">
            <w:pPr>
              <w:spacing w:line="480" w:lineRule="auto"/>
              <w:jc w:val="both"/>
            </w:pPr>
            <w:r>
              <w:t>Acid-Test Ratio</w:t>
            </w:r>
          </w:p>
        </w:tc>
        <w:tc>
          <w:tcPr>
            <w:tcW w:w="2450" w:type="dxa"/>
            <w:tcBorders>
              <w:top w:val="single" w:sz="4" w:space="0" w:color="auto"/>
            </w:tcBorders>
          </w:tcPr>
          <w:p w:rsidR="00D25197" w:rsidRDefault="00AF4D6B" w:rsidP="00F429FB">
            <w:pPr>
              <w:spacing w:line="480" w:lineRule="auto"/>
              <w:jc w:val="both"/>
            </w:pPr>
            <w:r>
              <w:t>0.9</w:t>
            </w:r>
          </w:p>
        </w:tc>
        <w:tc>
          <w:tcPr>
            <w:tcW w:w="2450" w:type="dxa"/>
            <w:tcBorders>
              <w:top w:val="single" w:sz="4" w:space="0" w:color="auto"/>
            </w:tcBorders>
          </w:tcPr>
          <w:p w:rsidR="00D25197" w:rsidRDefault="00AF4D6B" w:rsidP="00F429FB">
            <w:pPr>
              <w:keepNext/>
              <w:spacing w:line="480" w:lineRule="auto"/>
              <w:jc w:val="both"/>
            </w:pPr>
            <w:r>
              <w:t>1.2</w:t>
            </w:r>
          </w:p>
        </w:tc>
      </w:tr>
    </w:tbl>
    <w:p w:rsidR="00D25197" w:rsidRPr="00F429FB" w:rsidRDefault="00AF4D6B" w:rsidP="00F429FB">
      <w:pPr>
        <w:pStyle w:val="af"/>
        <w:spacing w:line="480" w:lineRule="auto"/>
        <w:rPr>
          <w:b w:val="0"/>
          <w:color w:val="auto"/>
          <w:sz w:val="24"/>
          <w:szCs w:val="24"/>
        </w:rPr>
      </w:pPr>
      <w:r w:rsidRPr="00F429FB">
        <w:rPr>
          <w:b w:val="0"/>
          <w:color w:val="auto"/>
          <w:sz w:val="24"/>
          <w:szCs w:val="24"/>
        </w:rPr>
        <w:t xml:space="preserve">Table </w:t>
      </w:r>
      <w:r w:rsidR="00F429FB">
        <w:rPr>
          <w:b w:val="0"/>
          <w:color w:val="auto"/>
          <w:sz w:val="24"/>
          <w:szCs w:val="24"/>
        </w:rPr>
        <w:t>11</w:t>
      </w:r>
      <w:r w:rsidRPr="00F429FB">
        <w:rPr>
          <w:b w:val="0"/>
          <w:color w:val="auto"/>
          <w:sz w:val="24"/>
          <w:szCs w:val="24"/>
        </w:rPr>
        <w:t xml:space="preserve"> </w:t>
      </w:r>
      <w:r w:rsidRPr="00F429FB">
        <w:rPr>
          <w:b w:val="0"/>
          <w:i/>
          <w:color w:val="auto"/>
          <w:sz w:val="24"/>
          <w:szCs w:val="24"/>
        </w:rPr>
        <w:t>EPC Company Acid-Test Ratio</w:t>
      </w:r>
    </w:p>
    <w:p w:rsidR="00977276" w:rsidRDefault="00977276" w:rsidP="00D25197">
      <w:pPr>
        <w:ind w:firstLine="720"/>
        <w:jc w:val="both"/>
      </w:pPr>
      <w:r>
        <w:t>Based on the above Acid-T</w:t>
      </w:r>
      <w:r w:rsidR="00AF4D6B">
        <w:t xml:space="preserve">est ratio for fiscal </w:t>
      </w:r>
      <w:r>
        <w:t xml:space="preserve">year </w:t>
      </w:r>
      <w:r w:rsidR="00AF4D6B">
        <w:t xml:space="preserve">2015, P&amp;G ratio is bigger than 1. </w:t>
      </w:r>
      <w:r>
        <w:t>It</w:t>
      </w:r>
    </w:p>
    <w:p w:rsidR="00D25197" w:rsidRDefault="00AF4D6B" w:rsidP="00977276">
      <w:pPr>
        <w:jc w:val="both"/>
      </w:pPr>
      <w:r>
        <w:lastRenderedPageBreak/>
        <w:t>means that the company is in a position to pay current l</w:t>
      </w:r>
      <w:r w:rsidR="00977276">
        <w:t xml:space="preserve">iabilities without disposing </w:t>
      </w:r>
      <w:r>
        <w:t>long-term assets (</w:t>
      </w:r>
      <w:r>
        <w:rPr>
          <w:color w:val="222222"/>
          <w:shd w:val="clear" w:color="auto" w:fill="FFFFFF"/>
        </w:rPr>
        <w:t>Pervan and Kuvek, 2013)</w:t>
      </w:r>
      <w:r w:rsidR="00977276">
        <w:t>. However, the Acid-T</w:t>
      </w:r>
      <w:r>
        <w:t>est ratio</w:t>
      </w:r>
      <w:r w:rsidR="00977276">
        <w:t xml:space="preserve"> for EPC</w:t>
      </w:r>
      <w:r>
        <w:t xml:space="preserve"> i</w:t>
      </w:r>
      <w:r w:rsidR="00977276">
        <w:t xml:space="preserve">s less than 1 which means </w:t>
      </w:r>
      <w:r>
        <w:t>that company has to sell long-term assets to settle curr</w:t>
      </w:r>
      <w:r w:rsidR="00977276">
        <w:t>ent liabilities. P&amp;G Company’s Acid-T</w:t>
      </w:r>
      <w:r>
        <w:t>est ratio for the year 2016</w:t>
      </w:r>
      <w:r w:rsidR="00977276">
        <w:t xml:space="preserve"> is higher compared to the EPC Acid-T</w:t>
      </w:r>
      <w:r>
        <w:t>est ratio. The latter company has invested more in the inventories, thus a low level of quick assets.</w:t>
      </w:r>
    </w:p>
    <w:p w:rsidR="00D25197" w:rsidRPr="00312D18" w:rsidRDefault="00AF4D6B" w:rsidP="00D25197">
      <w:pPr>
        <w:ind w:firstLine="720"/>
        <w:jc w:val="center"/>
        <w:rPr>
          <w:b/>
        </w:rPr>
      </w:pPr>
      <w:r w:rsidRPr="00312D18">
        <w:rPr>
          <w:b/>
        </w:rPr>
        <w:t>Efficiency Financial Ratios</w:t>
      </w:r>
    </w:p>
    <w:p w:rsidR="00D25197" w:rsidRPr="00977276" w:rsidRDefault="00AF4D6B" w:rsidP="00977276">
      <w:pPr>
        <w:rPr>
          <w:b/>
        </w:rPr>
      </w:pPr>
      <w:r w:rsidRPr="00977276">
        <w:rPr>
          <w:b/>
        </w:rPr>
        <w:t>Accounts Receivable Turnover</w:t>
      </w:r>
    </w:p>
    <w:p w:rsidR="00D25197" w:rsidRDefault="00AF4D6B" w:rsidP="00D25197">
      <w:pPr>
        <w:ind w:firstLine="720"/>
      </w:pPr>
      <w:r>
        <w:t>It is an efficiency ratio and measures the number of times a company can convert its account</w:t>
      </w:r>
      <w:r w:rsidR="00977276">
        <w:t>s</w:t>
      </w:r>
      <w:r>
        <w:t xml:space="preserve"> receivable into cash. In other words, it shows the frequency in which a company can collect an average account receivable during the financial year.</w:t>
      </w:r>
    </w:p>
    <w:p w:rsidR="00D25197" w:rsidRPr="00C85F14" w:rsidRDefault="00AF4D6B" w:rsidP="00D25197">
      <w:pPr>
        <w:ind w:firstLine="720"/>
        <w:jc w:val="center"/>
        <w:rPr>
          <w:b/>
        </w:rPr>
      </w:pPr>
      <w:r w:rsidRPr="00C85F14">
        <w:rPr>
          <w:b/>
        </w:rPr>
        <w:t>EPC Accounts Receivable Turnover</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6"/>
        <w:gridCol w:w="2666"/>
        <w:gridCol w:w="2666"/>
      </w:tblGrid>
      <w:tr w:rsidR="003C0A3F" w:rsidTr="00D25197">
        <w:trPr>
          <w:trHeight w:val="256"/>
          <w:jc w:val="center"/>
        </w:trPr>
        <w:tc>
          <w:tcPr>
            <w:tcW w:w="2666" w:type="dxa"/>
            <w:tcBorders>
              <w:top w:val="single" w:sz="4" w:space="0" w:color="auto"/>
              <w:bottom w:val="single" w:sz="4" w:space="0" w:color="auto"/>
            </w:tcBorders>
          </w:tcPr>
          <w:p w:rsidR="00D25197" w:rsidRDefault="00D25197" w:rsidP="00D25197">
            <w:pPr>
              <w:jc w:val="both"/>
            </w:pPr>
          </w:p>
        </w:tc>
        <w:tc>
          <w:tcPr>
            <w:tcW w:w="2666" w:type="dxa"/>
            <w:tcBorders>
              <w:top w:val="single" w:sz="4" w:space="0" w:color="auto"/>
              <w:bottom w:val="single" w:sz="4" w:space="0" w:color="auto"/>
            </w:tcBorders>
          </w:tcPr>
          <w:p w:rsidR="00D25197" w:rsidRPr="00D45C9E" w:rsidRDefault="00AF4D6B" w:rsidP="00D25197">
            <w:pPr>
              <w:jc w:val="both"/>
              <w:rPr>
                <w:b/>
              </w:rPr>
            </w:pPr>
            <w:r w:rsidRPr="00D45C9E">
              <w:rPr>
                <w:b/>
              </w:rPr>
              <w:t>2015</w:t>
            </w:r>
          </w:p>
        </w:tc>
        <w:tc>
          <w:tcPr>
            <w:tcW w:w="2666" w:type="dxa"/>
            <w:tcBorders>
              <w:top w:val="single" w:sz="4" w:space="0" w:color="auto"/>
              <w:bottom w:val="single" w:sz="4" w:space="0" w:color="auto"/>
            </w:tcBorders>
          </w:tcPr>
          <w:p w:rsidR="00D25197" w:rsidRPr="00D45C9E" w:rsidRDefault="00AF4D6B" w:rsidP="00D25197">
            <w:pPr>
              <w:jc w:val="both"/>
              <w:rPr>
                <w:b/>
              </w:rPr>
            </w:pPr>
            <w:r w:rsidRPr="00D45C9E">
              <w:rPr>
                <w:b/>
              </w:rPr>
              <w:t>2016</w:t>
            </w:r>
          </w:p>
        </w:tc>
      </w:tr>
      <w:tr w:rsidR="003C0A3F" w:rsidTr="00D25197">
        <w:trPr>
          <w:trHeight w:val="256"/>
          <w:jc w:val="center"/>
        </w:trPr>
        <w:tc>
          <w:tcPr>
            <w:tcW w:w="2666" w:type="dxa"/>
            <w:tcBorders>
              <w:top w:val="single" w:sz="4" w:space="0" w:color="auto"/>
            </w:tcBorders>
          </w:tcPr>
          <w:p w:rsidR="00D25197" w:rsidRDefault="00AF4D6B" w:rsidP="00D25197">
            <w:pPr>
              <w:jc w:val="both"/>
            </w:pPr>
            <w:r>
              <w:t>Net Credit Sales</w:t>
            </w:r>
          </w:p>
        </w:tc>
        <w:tc>
          <w:tcPr>
            <w:tcW w:w="2666" w:type="dxa"/>
            <w:tcBorders>
              <w:top w:val="single" w:sz="4" w:space="0" w:color="auto"/>
            </w:tcBorders>
            <w:vAlign w:val="bottom"/>
          </w:tcPr>
          <w:p w:rsidR="00D25197" w:rsidRPr="006F49E0" w:rsidRDefault="00AF4D6B" w:rsidP="00D25197">
            <w:pPr>
              <w:rPr>
                <w:rFonts w:eastAsia="Times New Roman"/>
                <w:bCs/>
                <w:color w:val="000000"/>
                <w:sz w:val="22"/>
                <w:szCs w:val="22"/>
              </w:rPr>
            </w:pPr>
            <w:r>
              <w:rPr>
                <w:rFonts w:eastAsia="Times New Roman"/>
                <w:bCs/>
                <w:color w:val="000000"/>
                <w:sz w:val="22"/>
                <w:szCs w:val="22"/>
              </w:rPr>
              <w:t>2,421,200</w:t>
            </w:r>
            <w:r w:rsidR="004D41FD">
              <w:rPr>
                <w:rFonts w:eastAsia="Times New Roman"/>
                <w:bCs/>
                <w:color w:val="000000"/>
                <w:sz w:val="22"/>
                <w:szCs w:val="22"/>
              </w:rPr>
              <w:t>.000</w:t>
            </w:r>
          </w:p>
        </w:tc>
        <w:tc>
          <w:tcPr>
            <w:tcW w:w="2666" w:type="dxa"/>
            <w:tcBorders>
              <w:top w:val="single" w:sz="4" w:space="0" w:color="auto"/>
            </w:tcBorders>
            <w:vAlign w:val="bottom"/>
          </w:tcPr>
          <w:p w:rsidR="00D25197" w:rsidRPr="006F49E0" w:rsidRDefault="00AF4D6B" w:rsidP="00D25197">
            <w:pPr>
              <w:rPr>
                <w:rFonts w:eastAsia="Times New Roman"/>
                <w:bCs/>
                <w:color w:val="000000"/>
                <w:sz w:val="22"/>
                <w:szCs w:val="22"/>
              </w:rPr>
            </w:pPr>
            <w:r>
              <w:rPr>
                <w:rFonts w:eastAsia="Times New Roman"/>
                <w:bCs/>
                <w:color w:val="000000"/>
                <w:sz w:val="22"/>
                <w:szCs w:val="22"/>
              </w:rPr>
              <w:t>2,362,000</w:t>
            </w:r>
          </w:p>
        </w:tc>
      </w:tr>
      <w:tr w:rsidR="003C0A3F" w:rsidTr="00D25197">
        <w:trPr>
          <w:trHeight w:val="256"/>
          <w:jc w:val="center"/>
        </w:trPr>
        <w:tc>
          <w:tcPr>
            <w:tcW w:w="2666" w:type="dxa"/>
            <w:tcBorders>
              <w:bottom w:val="single" w:sz="4" w:space="0" w:color="auto"/>
            </w:tcBorders>
          </w:tcPr>
          <w:p w:rsidR="00D25197" w:rsidRDefault="00AF4D6B" w:rsidP="00D25197">
            <w:pPr>
              <w:jc w:val="both"/>
            </w:pPr>
            <w:r>
              <w:t>Av Acc. Receivables</w:t>
            </w:r>
          </w:p>
        </w:tc>
        <w:tc>
          <w:tcPr>
            <w:tcW w:w="2666" w:type="dxa"/>
            <w:tcBorders>
              <w:bottom w:val="single" w:sz="4" w:space="0" w:color="auto"/>
            </w:tcBorders>
          </w:tcPr>
          <w:p w:rsidR="00D25197" w:rsidRDefault="00AF4D6B" w:rsidP="00D25197">
            <w:pPr>
              <w:jc w:val="both"/>
            </w:pPr>
            <w:r w:rsidRPr="006F49E0">
              <w:rPr>
                <w:rFonts w:eastAsia="Times New Roman"/>
                <w:bCs/>
                <w:color w:val="000000"/>
                <w:sz w:val="22"/>
                <w:szCs w:val="22"/>
              </w:rPr>
              <w:t>279,800</w:t>
            </w:r>
            <w:r w:rsidR="004D41FD">
              <w:rPr>
                <w:rFonts w:eastAsia="Times New Roman"/>
                <w:bCs/>
                <w:color w:val="000000"/>
                <w:sz w:val="22"/>
                <w:szCs w:val="22"/>
              </w:rPr>
              <w:t>.000</w:t>
            </w:r>
          </w:p>
        </w:tc>
        <w:tc>
          <w:tcPr>
            <w:tcW w:w="2666" w:type="dxa"/>
            <w:tcBorders>
              <w:bottom w:val="single" w:sz="4" w:space="0" w:color="auto"/>
            </w:tcBorders>
          </w:tcPr>
          <w:p w:rsidR="00D25197" w:rsidRDefault="00AF4D6B" w:rsidP="00D25197">
            <w:pPr>
              <w:jc w:val="both"/>
            </w:pPr>
            <w:r w:rsidRPr="006F49E0">
              <w:rPr>
                <w:rFonts w:eastAsia="Times New Roman"/>
                <w:bCs/>
                <w:color w:val="000000"/>
                <w:sz w:val="22"/>
                <w:szCs w:val="22"/>
              </w:rPr>
              <w:t>260,700</w:t>
            </w:r>
          </w:p>
        </w:tc>
      </w:tr>
      <w:tr w:rsidR="003C0A3F" w:rsidTr="00D25197">
        <w:trPr>
          <w:trHeight w:val="270"/>
          <w:jc w:val="center"/>
        </w:trPr>
        <w:tc>
          <w:tcPr>
            <w:tcW w:w="2666" w:type="dxa"/>
            <w:tcBorders>
              <w:top w:val="single" w:sz="4" w:space="0" w:color="auto"/>
            </w:tcBorders>
          </w:tcPr>
          <w:p w:rsidR="00D25197" w:rsidRDefault="00AF4D6B" w:rsidP="004D41FD">
            <w:pPr>
              <w:spacing w:line="480" w:lineRule="auto"/>
              <w:jc w:val="both"/>
            </w:pPr>
            <w:r>
              <w:t>Acc. Rec. Turnover</w:t>
            </w:r>
          </w:p>
        </w:tc>
        <w:tc>
          <w:tcPr>
            <w:tcW w:w="2666" w:type="dxa"/>
            <w:tcBorders>
              <w:top w:val="single" w:sz="4" w:space="0" w:color="auto"/>
            </w:tcBorders>
          </w:tcPr>
          <w:p w:rsidR="00D25197" w:rsidRDefault="00AF4D6B" w:rsidP="004D41FD">
            <w:pPr>
              <w:spacing w:line="480" w:lineRule="auto"/>
              <w:jc w:val="both"/>
            </w:pPr>
            <w:r>
              <w:t>8.65</w:t>
            </w:r>
            <w:r w:rsidR="004D41FD">
              <w:t>0</w:t>
            </w:r>
          </w:p>
        </w:tc>
        <w:tc>
          <w:tcPr>
            <w:tcW w:w="2666" w:type="dxa"/>
            <w:tcBorders>
              <w:top w:val="single" w:sz="4" w:space="0" w:color="auto"/>
            </w:tcBorders>
          </w:tcPr>
          <w:p w:rsidR="00D25197" w:rsidRDefault="00AF4D6B" w:rsidP="004D41FD">
            <w:pPr>
              <w:keepNext/>
              <w:spacing w:line="480" w:lineRule="auto"/>
              <w:jc w:val="both"/>
            </w:pPr>
            <w:r>
              <w:t>9.06</w:t>
            </w:r>
            <w:r w:rsidR="004D41FD">
              <w:t>0</w:t>
            </w:r>
          </w:p>
        </w:tc>
      </w:tr>
    </w:tbl>
    <w:p w:rsidR="00D25197" w:rsidRPr="004D41FD" w:rsidRDefault="00AF4D6B" w:rsidP="004D41FD">
      <w:pPr>
        <w:pStyle w:val="af"/>
        <w:spacing w:line="480" w:lineRule="auto"/>
        <w:rPr>
          <w:b w:val="0"/>
          <w:i/>
          <w:color w:val="auto"/>
          <w:sz w:val="24"/>
          <w:szCs w:val="24"/>
        </w:rPr>
      </w:pPr>
      <w:r w:rsidRPr="004D41FD">
        <w:rPr>
          <w:b w:val="0"/>
          <w:color w:val="auto"/>
          <w:sz w:val="24"/>
          <w:szCs w:val="24"/>
        </w:rPr>
        <w:t xml:space="preserve">Table </w:t>
      </w:r>
      <w:r w:rsidR="004D41FD">
        <w:rPr>
          <w:b w:val="0"/>
          <w:color w:val="auto"/>
          <w:sz w:val="24"/>
          <w:szCs w:val="24"/>
        </w:rPr>
        <w:t>12</w:t>
      </w:r>
      <w:r w:rsidRPr="004D41FD">
        <w:rPr>
          <w:b w:val="0"/>
          <w:color w:val="auto"/>
          <w:sz w:val="24"/>
          <w:szCs w:val="24"/>
        </w:rPr>
        <w:t xml:space="preserve"> </w:t>
      </w:r>
      <w:r w:rsidRPr="004D41FD">
        <w:rPr>
          <w:b w:val="0"/>
          <w:i/>
          <w:color w:val="auto"/>
          <w:sz w:val="24"/>
          <w:szCs w:val="24"/>
        </w:rPr>
        <w:t>EPC Accounts Receivable Turnover</w:t>
      </w:r>
    </w:p>
    <w:p w:rsidR="00D25197" w:rsidRPr="00C85F14" w:rsidRDefault="00AF4D6B" w:rsidP="00D25197">
      <w:pPr>
        <w:ind w:firstLine="720"/>
        <w:jc w:val="center"/>
        <w:rPr>
          <w:b/>
        </w:rPr>
      </w:pPr>
      <w:r w:rsidRPr="00C85F14">
        <w:rPr>
          <w:b/>
        </w:rPr>
        <w:t xml:space="preserve">P&amp;G Accounts Receivable Turnover </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6"/>
        <w:gridCol w:w="2666"/>
        <w:gridCol w:w="2666"/>
      </w:tblGrid>
      <w:tr w:rsidR="003C0A3F" w:rsidTr="00D25197">
        <w:trPr>
          <w:trHeight w:val="256"/>
          <w:jc w:val="center"/>
        </w:trPr>
        <w:tc>
          <w:tcPr>
            <w:tcW w:w="2666" w:type="dxa"/>
            <w:tcBorders>
              <w:top w:val="single" w:sz="4" w:space="0" w:color="auto"/>
              <w:bottom w:val="single" w:sz="4" w:space="0" w:color="auto"/>
            </w:tcBorders>
          </w:tcPr>
          <w:p w:rsidR="00D25197" w:rsidRDefault="00D25197" w:rsidP="00D25197">
            <w:pPr>
              <w:jc w:val="both"/>
            </w:pPr>
          </w:p>
        </w:tc>
        <w:tc>
          <w:tcPr>
            <w:tcW w:w="2666" w:type="dxa"/>
            <w:tcBorders>
              <w:top w:val="single" w:sz="4" w:space="0" w:color="auto"/>
              <w:bottom w:val="single" w:sz="4" w:space="0" w:color="auto"/>
            </w:tcBorders>
          </w:tcPr>
          <w:p w:rsidR="00D25197" w:rsidRPr="00D45C9E" w:rsidRDefault="00AF4D6B" w:rsidP="00D25197">
            <w:pPr>
              <w:jc w:val="both"/>
              <w:rPr>
                <w:b/>
              </w:rPr>
            </w:pPr>
            <w:r w:rsidRPr="00D45C9E">
              <w:rPr>
                <w:b/>
              </w:rPr>
              <w:t>2015</w:t>
            </w:r>
          </w:p>
        </w:tc>
        <w:tc>
          <w:tcPr>
            <w:tcW w:w="2666" w:type="dxa"/>
            <w:tcBorders>
              <w:top w:val="single" w:sz="4" w:space="0" w:color="auto"/>
              <w:bottom w:val="single" w:sz="4" w:space="0" w:color="auto"/>
            </w:tcBorders>
          </w:tcPr>
          <w:p w:rsidR="00D25197" w:rsidRPr="00D45C9E" w:rsidRDefault="00AF4D6B" w:rsidP="00D25197">
            <w:pPr>
              <w:jc w:val="both"/>
              <w:rPr>
                <w:b/>
              </w:rPr>
            </w:pPr>
            <w:r w:rsidRPr="00D45C9E">
              <w:rPr>
                <w:b/>
              </w:rPr>
              <w:t>2016</w:t>
            </w:r>
          </w:p>
        </w:tc>
      </w:tr>
      <w:tr w:rsidR="003C0A3F" w:rsidTr="00D25197">
        <w:trPr>
          <w:trHeight w:val="256"/>
          <w:jc w:val="center"/>
        </w:trPr>
        <w:tc>
          <w:tcPr>
            <w:tcW w:w="2666" w:type="dxa"/>
            <w:tcBorders>
              <w:top w:val="single" w:sz="4" w:space="0" w:color="auto"/>
            </w:tcBorders>
          </w:tcPr>
          <w:p w:rsidR="00D25197" w:rsidRPr="002102DB" w:rsidRDefault="00AF4D6B" w:rsidP="00D25197">
            <w:pPr>
              <w:jc w:val="both"/>
            </w:pPr>
            <w:r w:rsidRPr="002102DB">
              <w:t>Net Credit Sales</w:t>
            </w:r>
          </w:p>
        </w:tc>
        <w:tc>
          <w:tcPr>
            <w:tcW w:w="2666" w:type="dxa"/>
            <w:tcBorders>
              <w:top w:val="single" w:sz="4" w:space="0" w:color="auto"/>
            </w:tcBorders>
            <w:vAlign w:val="bottom"/>
          </w:tcPr>
          <w:p w:rsidR="00D25197" w:rsidRPr="004D41FD" w:rsidRDefault="00AF4D6B" w:rsidP="00D25197">
            <w:pPr>
              <w:rPr>
                <w:rFonts w:eastAsia="Times New Roman"/>
                <w:bCs/>
                <w:color w:val="000000"/>
              </w:rPr>
            </w:pPr>
            <w:r w:rsidRPr="004D41FD">
              <w:rPr>
                <w:rFonts w:eastAsia="Times New Roman"/>
                <w:bCs/>
                <w:color w:val="000000"/>
              </w:rPr>
              <w:t>76,279</w:t>
            </w:r>
            <w:r w:rsidR="004D41FD" w:rsidRPr="004D41FD">
              <w:rPr>
                <w:rFonts w:eastAsia="Times New Roman"/>
                <w:bCs/>
                <w:color w:val="000000"/>
              </w:rPr>
              <w:t>.000</w:t>
            </w:r>
          </w:p>
        </w:tc>
        <w:tc>
          <w:tcPr>
            <w:tcW w:w="2666" w:type="dxa"/>
            <w:tcBorders>
              <w:top w:val="single" w:sz="4" w:space="0" w:color="auto"/>
            </w:tcBorders>
            <w:vAlign w:val="bottom"/>
          </w:tcPr>
          <w:p w:rsidR="00D25197" w:rsidRPr="004D41FD" w:rsidRDefault="00AF4D6B" w:rsidP="00D25197">
            <w:pPr>
              <w:rPr>
                <w:rFonts w:eastAsia="Times New Roman"/>
                <w:bCs/>
                <w:color w:val="000000"/>
              </w:rPr>
            </w:pPr>
            <w:r w:rsidRPr="004D41FD">
              <w:rPr>
                <w:rFonts w:eastAsia="Times New Roman"/>
                <w:bCs/>
                <w:color w:val="000000"/>
              </w:rPr>
              <w:t>65,299</w:t>
            </w:r>
            <w:r w:rsidR="004D41FD" w:rsidRPr="004D41FD">
              <w:rPr>
                <w:rFonts w:eastAsia="Times New Roman"/>
                <w:bCs/>
                <w:color w:val="000000"/>
              </w:rPr>
              <w:t>.000</w:t>
            </w:r>
          </w:p>
        </w:tc>
      </w:tr>
      <w:tr w:rsidR="003C0A3F" w:rsidTr="00D25197">
        <w:trPr>
          <w:trHeight w:val="256"/>
          <w:jc w:val="center"/>
        </w:trPr>
        <w:tc>
          <w:tcPr>
            <w:tcW w:w="2666" w:type="dxa"/>
            <w:tcBorders>
              <w:bottom w:val="single" w:sz="4" w:space="0" w:color="auto"/>
            </w:tcBorders>
          </w:tcPr>
          <w:p w:rsidR="00D25197" w:rsidRDefault="00AF4D6B" w:rsidP="00D25197">
            <w:pPr>
              <w:jc w:val="both"/>
            </w:pPr>
            <w:r>
              <w:t>Av Acc. Receivables</w:t>
            </w:r>
          </w:p>
        </w:tc>
        <w:tc>
          <w:tcPr>
            <w:tcW w:w="2666" w:type="dxa"/>
            <w:tcBorders>
              <w:bottom w:val="single" w:sz="4" w:space="0" w:color="auto"/>
            </w:tcBorders>
          </w:tcPr>
          <w:p w:rsidR="00D25197" w:rsidRDefault="00AF4D6B" w:rsidP="00D25197">
            <w:pPr>
              <w:jc w:val="both"/>
            </w:pPr>
            <w:r>
              <w:t>4,861</w:t>
            </w:r>
            <w:r w:rsidR="004D41FD">
              <w:t>.000</w:t>
            </w:r>
          </w:p>
        </w:tc>
        <w:tc>
          <w:tcPr>
            <w:tcW w:w="2666" w:type="dxa"/>
            <w:tcBorders>
              <w:bottom w:val="single" w:sz="4" w:space="0" w:color="auto"/>
            </w:tcBorders>
          </w:tcPr>
          <w:p w:rsidR="00D25197" w:rsidRDefault="00AF4D6B" w:rsidP="00D25197">
            <w:pPr>
              <w:jc w:val="both"/>
            </w:pPr>
            <w:r>
              <w:t>4,373</w:t>
            </w:r>
            <w:r w:rsidR="004D41FD">
              <w:t>.000</w:t>
            </w:r>
          </w:p>
        </w:tc>
      </w:tr>
      <w:tr w:rsidR="003C0A3F" w:rsidTr="00D25197">
        <w:trPr>
          <w:trHeight w:val="270"/>
          <w:jc w:val="center"/>
        </w:trPr>
        <w:tc>
          <w:tcPr>
            <w:tcW w:w="2666" w:type="dxa"/>
            <w:tcBorders>
              <w:top w:val="single" w:sz="4" w:space="0" w:color="auto"/>
            </w:tcBorders>
          </w:tcPr>
          <w:p w:rsidR="00D25197" w:rsidRDefault="00AF4D6B" w:rsidP="004D41FD">
            <w:pPr>
              <w:spacing w:line="480" w:lineRule="auto"/>
              <w:jc w:val="both"/>
            </w:pPr>
            <w:r>
              <w:t>Acc. Rec. Turnover</w:t>
            </w:r>
          </w:p>
        </w:tc>
        <w:tc>
          <w:tcPr>
            <w:tcW w:w="2666" w:type="dxa"/>
            <w:tcBorders>
              <w:top w:val="single" w:sz="4" w:space="0" w:color="auto"/>
            </w:tcBorders>
          </w:tcPr>
          <w:p w:rsidR="00D25197" w:rsidRDefault="00AF4D6B" w:rsidP="004D41FD">
            <w:pPr>
              <w:spacing w:line="480" w:lineRule="auto"/>
              <w:jc w:val="both"/>
            </w:pPr>
            <w:r>
              <w:t>15.69</w:t>
            </w:r>
            <w:r w:rsidR="004D41FD">
              <w:t>0</w:t>
            </w:r>
          </w:p>
        </w:tc>
        <w:tc>
          <w:tcPr>
            <w:tcW w:w="2666" w:type="dxa"/>
            <w:tcBorders>
              <w:top w:val="single" w:sz="4" w:space="0" w:color="auto"/>
            </w:tcBorders>
          </w:tcPr>
          <w:p w:rsidR="00D25197" w:rsidRDefault="00AF4D6B" w:rsidP="004D41FD">
            <w:pPr>
              <w:keepNext/>
              <w:spacing w:line="480" w:lineRule="auto"/>
              <w:jc w:val="both"/>
            </w:pPr>
            <w:r>
              <w:t>14.93</w:t>
            </w:r>
            <w:r w:rsidR="004D41FD">
              <w:t>0</w:t>
            </w:r>
          </w:p>
        </w:tc>
      </w:tr>
    </w:tbl>
    <w:p w:rsidR="00D25197" w:rsidRPr="004D41FD" w:rsidRDefault="00AF4D6B" w:rsidP="004D41FD">
      <w:pPr>
        <w:pStyle w:val="af"/>
        <w:spacing w:line="480" w:lineRule="auto"/>
        <w:rPr>
          <w:b w:val="0"/>
          <w:color w:val="auto"/>
          <w:sz w:val="24"/>
          <w:szCs w:val="24"/>
        </w:rPr>
      </w:pPr>
      <w:r w:rsidRPr="004D41FD">
        <w:rPr>
          <w:b w:val="0"/>
          <w:color w:val="auto"/>
          <w:sz w:val="24"/>
          <w:szCs w:val="24"/>
        </w:rPr>
        <w:t xml:space="preserve">Table </w:t>
      </w:r>
      <w:r w:rsidR="00AB7B8E">
        <w:rPr>
          <w:b w:val="0"/>
          <w:color w:val="auto"/>
          <w:sz w:val="24"/>
          <w:szCs w:val="24"/>
        </w:rPr>
        <w:t>13</w:t>
      </w:r>
      <w:r w:rsidRPr="004D41FD">
        <w:rPr>
          <w:b w:val="0"/>
          <w:color w:val="auto"/>
          <w:sz w:val="24"/>
          <w:szCs w:val="24"/>
        </w:rPr>
        <w:t xml:space="preserve"> </w:t>
      </w:r>
      <w:r w:rsidRPr="004D41FD">
        <w:rPr>
          <w:b w:val="0"/>
          <w:i/>
          <w:color w:val="auto"/>
          <w:sz w:val="24"/>
          <w:szCs w:val="24"/>
        </w:rPr>
        <w:t>P&amp;G Accounts Receivable Turnover</w:t>
      </w:r>
    </w:p>
    <w:p w:rsidR="00D25197" w:rsidRDefault="00AF4D6B" w:rsidP="00D25197">
      <w:pPr>
        <w:ind w:firstLine="720"/>
      </w:pPr>
      <w:r>
        <w:lastRenderedPageBreak/>
        <w:t>Based on the above account</w:t>
      </w:r>
      <w:r w:rsidR="00AB7B8E">
        <w:t>s</w:t>
      </w:r>
      <w:r>
        <w:t xml:space="preserve"> receivable turnover analysis, P&amp;G Company is likely to collect credit sales more frequently compared to EPC Company. </w:t>
      </w:r>
    </w:p>
    <w:p w:rsidR="00D25197" w:rsidRPr="00C85F14" w:rsidRDefault="00AF4D6B" w:rsidP="00AB7B8E">
      <w:pPr>
        <w:rPr>
          <w:b/>
        </w:rPr>
      </w:pPr>
      <w:r w:rsidRPr="00C85F14">
        <w:rPr>
          <w:b/>
        </w:rPr>
        <w:t>Days Sales in Accounts Receivable</w:t>
      </w:r>
    </w:p>
    <w:p w:rsidR="00D25197" w:rsidRDefault="00AB7B8E" w:rsidP="00D25197">
      <w:pPr>
        <w:ind w:firstLine="720"/>
      </w:pPr>
      <w:r>
        <w:t>The day</w:t>
      </w:r>
      <w:r w:rsidR="00AF4D6B">
        <w:t>s sales in account</w:t>
      </w:r>
      <w:r>
        <w:t>s</w:t>
      </w:r>
      <w:r w:rsidR="00AF4D6B">
        <w:t xml:space="preserve"> receivable demonstrate the efficiency of the company in collecting cash from their customers. Alternatively, they are the number of days a company takes in converting sales into cash. The ratio is obtained by dividing the account</w:t>
      </w:r>
      <w:r>
        <w:t>s</w:t>
      </w:r>
      <w:r w:rsidR="00AF4D6B">
        <w:t xml:space="preserve"> receivable with total credit sales and then multiplying it by 365 days. </w:t>
      </w:r>
    </w:p>
    <w:p w:rsidR="00D25197" w:rsidRPr="00C85F14" w:rsidRDefault="00AF4D6B" w:rsidP="00D25197">
      <w:pPr>
        <w:jc w:val="center"/>
        <w:rPr>
          <w:b/>
        </w:rPr>
      </w:pPr>
      <w:r w:rsidRPr="00C85F14">
        <w:rPr>
          <w:b/>
        </w:rPr>
        <w:t>EPC Days Sales in Accounts Receivable</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6"/>
        <w:gridCol w:w="2666"/>
        <w:gridCol w:w="2666"/>
      </w:tblGrid>
      <w:tr w:rsidR="003C0A3F" w:rsidTr="00D25197">
        <w:trPr>
          <w:trHeight w:val="256"/>
          <w:jc w:val="center"/>
        </w:trPr>
        <w:tc>
          <w:tcPr>
            <w:tcW w:w="2666" w:type="dxa"/>
            <w:tcBorders>
              <w:top w:val="single" w:sz="4" w:space="0" w:color="auto"/>
              <w:bottom w:val="single" w:sz="4" w:space="0" w:color="auto"/>
            </w:tcBorders>
          </w:tcPr>
          <w:p w:rsidR="00D25197" w:rsidRDefault="00D25197" w:rsidP="00D25197">
            <w:pPr>
              <w:jc w:val="both"/>
            </w:pPr>
          </w:p>
        </w:tc>
        <w:tc>
          <w:tcPr>
            <w:tcW w:w="2666" w:type="dxa"/>
            <w:tcBorders>
              <w:top w:val="single" w:sz="4" w:space="0" w:color="auto"/>
              <w:bottom w:val="single" w:sz="4" w:space="0" w:color="auto"/>
            </w:tcBorders>
          </w:tcPr>
          <w:p w:rsidR="00D25197" w:rsidRPr="00D45C9E" w:rsidRDefault="00AF4D6B" w:rsidP="00D25197">
            <w:pPr>
              <w:jc w:val="both"/>
              <w:rPr>
                <w:b/>
              </w:rPr>
            </w:pPr>
            <w:r w:rsidRPr="00D45C9E">
              <w:rPr>
                <w:b/>
              </w:rPr>
              <w:t>2015</w:t>
            </w:r>
          </w:p>
        </w:tc>
        <w:tc>
          <w:tcPr>
            <w:tcW w:w="2666" w:type="dxa"/>
            <w:tcBorders>
              <w:top w:val="single" w:sz="4" w:space="0" w:color="auto"/>
              <w:bottom w:val="single" w:sz="4" w:space="0" w:color="auto"/>
            </w:tcBorders>
          </w:tcPr>
          <w:p w:rsidR="00D25197" w:rsidRPr="00D45C9E" w:rsidRDefault="00AF4D6B" w:rsidP="00D25197">
            <w:pPr>
              <w:jc w:val="both"/>
              <w:rPr>
                <w:b/>
              </w:rPr>
            </w:pPr>
            <w:r w:rsidRPr="00D45C9E">
              <w:rPr>
                <w:b/>
              </w:rPr>
              <w:t>2016</w:t>
            </w:r>
          </w:p>
        </w:tc>
      </w:tr>
      <w:tr w:rsidR="003C0A3F" w:rsidTr="00D25197">
        <w:trPr>
          <w:trHeight w:val="256"/>
          <w:jc w:val="center"/>
        </w:trPr>
        <w:tc>
          <w:tcPr>
            <w:tcW w:w="2666" w:type="dxa"/>
            <w:tcBorders>
              <w:top w:val="single" w:sz="4" w:space="0" w:color="auto"/>
            </w:tcBorders>
          </w:tcPr>
          <w:p w:rsidR="00D25197" w:rsidRDefault="00AF4D6B" w:rsidP="00D25197">
            <w:pPr>
              <w:jc w:val="both"/>
            </w:pPr>
            <w:r>
              <w:t>Net Credit Sales</w:t>
            </w:r>
          </w:p>
        </w:tc>
        <w:tc>
          <w:tcPr>
            <w:tcW w:w="2666" w:type="dxa"/>
            <w:tcBorders>
              <w:top w:val="single" w:sz="4" w:space="0" w:color="auto"/>
            </w:tcBorders>
            <w:vAlign w:val="bottom"/>
          </w:tcPr>
          <w:p w:rsidR="00D25197" w:rsidRPr="006F49E0" w:rsidRDefault="00AF4D6B" w:rsidP="00D25197">
            <w:pPr>
              <w:rPr>
                <w:rFonts w:eastAsia="Times New Roman"/>
                <w:bCs/>
                <w:color w:val="000000"/>
                <w:sz w:val="22"/>
                <w:szCs w:val="22"/>
              </w:rPr>
            </w:pPr>
            <w:r>
              <w:rPr>
                <w:rFonts w:eastAsia="Times New Roman"/>
                <w:bCs/>
                <w:color w:val="000000"/>
                <w:sz w:val="22"/>
                <w:szCs w:val="22"/>
              </w:rPr>
              <w:t>2,421,200</w:t>
            </w:r>
          </w:p>
        </w:tc>
        <w:tc>
          <w:tcPr>
            <w:tcW w:w="2666" w:type="dxa"/>
            <w:tcBorders>
              <w:top w:val="single" w:sz="4" w:space="0" w:color="auto"/>
            </w:tcBorders>
            <w:vAlign w:val="bottom"/>
          </w:tcPr>
          <w:p w:rsidR="00D25197" w:rsidRPr="006F49E0" w:rsidRDefault="00AF4D6B" w:rsidP="00D25197">
            <w:pPr>
              <w:rPr>
                <w:rFonts w:eastAsia="Times New Roman"/>
                <w:bCs/>
                <w:color w:val="000000"/>
                <w:sz w:val="22"/>
                <w:szCs w:val="22"/>
              </w:rPr>
            </w:pPr>
            <w:r>
              <w:rPr>
                <w:rFonts w:eastAsia="Times New Roman"/>
                <w:bCs/>
                <w:color w:val="000000"/>
                <w:sz w:val="22"/>
                <w:szCs w:val="22"/>
              </w:rPr>
              <w:t>2,362,000</w:t>
            </w:r>
          </w:p>
        </w:tc>
      </w:tr>
      <w:tr w:rsidR="003C0A3F" w:rsidTr="00D25197">
        <w:trPr>
          <w:trHeight w:val="256"/>
          <w:jc w:val="center"/>
        </w:trPr>
        <w:tc>
          <w:tcPr>
            <w:tcW w:w="2666" w:type="dxa"/>
            <w:tcBorders>
              <w:bottom w:val="single" w:sz="4" w:space="0" w:color="auto"/>
            </w:tcBorders>
          </w:tcPr>
          <w:p w:rsidR="00D25197" w:rsidRDefault="00AF4D6B" w:rsidP="00D25197">
            <w:pPr>
              <w:jc w:val="both"/>
            </w:pPr>
            <w:r>
              <w:t>Av Acc. Receivables</w:t>
            </w:r>
          </w:p>
        </w:tc>
        <w:tc>
          <w:tcPr>
            <w:tcW w:w="2666" w:type="dxa"/>
            <w:tcBorders>
              <w:bottom w:val="single" w:sz="4" w:space="0" w:color="auto"/>
            </w:tcBorders>
          </w:tcPr>
          <w:p w:rsidR="00D25197" w:rsidRDefault="00AF4D6B" w:rsidP="00D25197">
            <w:pPr>
              <w:jc w:val="both"/>
            </w:pPr>
            <w:r w:rsidRPr="006F49E0">
              <w:rPr>
                <w:rFonts w:eastAsia="Times New Roman"/>
                <w:bCs/>
                <w:color w:val="000000"/>
                <w:sz w:val="22"/>
                <w:szCs w:val="22"/>
              </w:rPr>
              <w:t>279,800</w:t>
            </w:r>
          </w:p>
        </w:tc>
        <w:tc>
          <w:tcPr>
            <w:tcW w:w="2666" w:type="dxa"/>
            <w:tcBorders>
              <w:bottom w:val="single" w:sz="4" w:space="0" w:color="auto"/>
            </w:tcBorders>
          </w:tcPr>
          <w:p w:rsidR="00D25197" w:rsidRDefault="00AF4D6B" w:rsidP="00D25197">
            <w:pPr>
              <w:jc w:val="both"/>
            </w:pPr>
            <w:r w:rsidRPr="006F49E0">
              <w:rPr>
                <w:rFonts w:eastAsia="Times New Roman"/>
                <w:bCs/>
                <w:color w:val="000000"/>
                <w:sz w:val="22"/>
                <w:szCs w:val="22"/>
              </w:rPr>
              <w:t>260,700</w:t>
            </w:r>
          </w:p>
        </w:tc>
      </w:tr>
      <w:tr w:rsidR="003C0A3F" w:rsidTr="00D25197">
        <w:trPr>
          <w:trHeight w:val="270"/>
          <w:jc w:val="center"/>
        </w:trPr>
        <w:tc>
          <w:tcPr>
            <w:tcW w:w="2666" w:type="dxa"/>
            <w:tcBorders>
              <w:top w:val="single" w:sz="4" w:space="0" w:color="auto"/>
            </w:tcBorders>
          </w:tcPr>
          <w:p w:rsidR="00D25197" w:rsidRPr="00CB4452" w:rsidRDefault="00AF4D6B" w:rsidP="00AB7B8E">
            <w:pPr>
              <w:spacing w:line="480" w:lineRule="auto"/>
              <w:jc w:val="both"/>
            </w:pPr>
            <w:r w:rsidRPr="00CB4452">
              <w:t>Days Sales</w:t>
            </w:r>
          </w:p>
        </w:tc>
        <w:tc>
          <w:tcPr>
            <w:tcW w:w="2666" w:type="dxa"/>
            <w:tcBorders>
              <w:top w:val="single" w:sz="4" w:space="0" w:color="auto"/>
            </w:tcBorders>
          </w:tcPr>
          <w:p w:rsidR="00D25197" w:rsidRPr="00CB4452" w:rsidRDefault="00AF4D6B" w:rsidP="00AB7B8E">
            <w:pPr>
              <w:spacing w:line="480" w:lineRule="auto"/>
              <w:jc w:val="both"/>
            </w:pPr>
            <w:r w:rsidRPr="00CB4452">
              <w:t xml:space="preserve">42 </w:t>
            </w:r>
          </w:p>
        </w:tc>
        <w:tc>
          <w:tcPr>
            <w:tcW w:w="2666" w:type="dxa"/>
            <w:tcBorders>
              <w:top w:val="single" w:sz="4" w:space="0" w:color="auto"/>
            </w:tcBorders>
          </w:tcPr>
          <w:p w:rsidR="00D25197" w:rsidRPr="00CB4452" w:rsidRDefault="00AF4D6B" w:rsidP="00AB7B8E">
            <w:pPr>
              <w:keepNext/>
              <w:spacing w:line="480" w:lineRule="auto"/>
              <w:jc w:val="both"/>
            </w:pPr>
            <w:r w:rsidRPr="00CB4452">
              <w:t xml:space="preserve">41 </w:t>
            </w:r>
          </w:p>
        </w:tc>
      </w:tr>
    </w:tbl>
    <w:p w:rsidR="00D25197" w:rsidRPr="00AB7B8E" w:rsidRDefault="00AF4D6B" w:rsidP="00AB7B8E">
      <w:pPr>
        <w:pStyle w:val="af"/>
        <w:spacing w:line="480" w:lineRule="auto"/>
        <w:rPr>
          <w:b w:val="0"/>
          <w:color w:val="auto"/>
          <w:sz w:val="24"/>
          <w:szCs w:val="24"/>
        </w:rPr>
      </w:pPr>
      <w:r w:rsidRPr="00AB7B8E">
        <w:rPr>
          <w:b w:val="0"/>
          <w:color w:val="auto"/>
          <w:sz w:val="24"/>
          <w:szCs w:val="24"/>
        </w:rPr>
        <w:t xml:space="preserve">Table </w:t>
      </w:r>
      <w:r w:rsidR="00AB7B8E">
        <w:rPr>
          <w:b w:val="0"/>
          <w:color w:val="auto"/>
          <w:sz w:val="24"/>
          <w:szCs w:val="24"/>
        </w:rPr>
        <w:t>14</w:t>
      </w:r>
      <w:r w:rsidRPr="00AB7B8E">
        <w:rPr>
          <w:b w:val="0"/>
          <w:color w:val="auto"/>
          <w:sz w:val="24"/>
          <w:szCs w:val="24"/>
        </w:rPr>
        <w:t xml:space="preserve"> </w:t>
      </w:r>
      <w:r w:rsidRPr="00AB7B8E">
        <w:rPr>
          <w:b w:val="0"/>
          <w:i/>
          <w:color w:val="auto"/>
          <w:sz w:val="24"/>
          <w:szCs w:val="24"/>
        </w:rPr>
        <w:t>EPC Days Sales in Accounts Receivable</w:t>
      </w:r>
    </w:p>
    <w:p w:rsidR="00D25197" w:rsidRPr="00C85F14" w:rsidRDefault="00AF4D6B" w:rsidP="00D25197">
      <w:pPr>
        <w:jc w:val="center"/>
        <w:rPr>
          <w:b/>
        </w:rPr>
      </w:pPr>
      <w:r w:rsidRPr="00C85F14">
        <w:rPr>
          <w:b/>
        </w:rPr>
        <w:t>P&amp;G Days Sales in Accounts Receivable</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6"/>
        <w:gridCol w:w="2666"/>
        <w:gridCol w:w="2666"/>
      </w:tblGrid>
      <w:tr w:rsidR="003C0A3F" w:rsidTr="00D25197">
        <w:trPr>
          <w:trHeight w:val="256"/>
          <w:jc w:val="center"/>
        </w:trPr>
        <w:tc>
          <w:tcPr>
            <w:tcW w:w="2666" w:type="dxa"/>
            <w:tcBorders>
              <w:top w:val="single" w:sz="4" w:space="0" w:color="auto"/>
              <w:bottom w:val="single" w:sz="4" w:space="0" w:color="auto"/>
            </w:tcBorders>
          </w:tcPr>
          <w:p w:rsidR="00D25197" w:rsidRDefault="00D25197" w:rsidP="00D25197">
            <w:pPr>
              <w:jc w:val="both"/>
            </w:pPr>
          </w:p>
        </w:tc>
        <w:tc>
          <w:tcPr>
            <w:tcW w:w="2666" w:type="dxa"/>
            <w:tcBorders>
              <w:top w:val="single" w:sz="4" w:space="0" w:color="auto"/>
              <w:bottom w:val="single" w:sz="4" w:space="0" w:color="auto"/>
            </w:tcBorders>
          </w:tcPr>
          <w:p w:rsidR="00D25197" w:rsidRPr="00D45C9E" w:rsidRDefault="00AF4D6B" w:rsidP="00D25197">
            <w:pPr>
              <w:jc w:val="both"/>
              <w:rPr>
                <w:b/>
              </w:rPr>
            </w:pPr>
            <w:r w:rsidRPr="00D45C9E">
              <w:rPr>
                <w:b/>
              </w:rPr>
              <w:t>2015</w:t>
            </w:r>
          </w:p>
        </w:tc>
        <w:tc>
          <w:tcPr>
            <w:tcW w:w="2666" w:type="dxa"/>
            <w:tcBorders>
              <w:top w:val="single" w:sz="4" w:space="0" w:color="auto"/>
              <w:bottom w:val="single" w:sz="4" w:space="0" w:color="auto"/>
            </w:tcBorders>
          </w:tcPr>
          <w:p w:rsidR="00D25197" w:rsidRPr="00D45C9E" w:rsidRDefault="00AF4D6B" w:rsidP="00D25197">
            <w:pPr>
              <w:jc w:val="both"/>
              <w:rPr>
                <w:b/>
              </w:rPr>
            </w:pPr>
            <w:r w:rsidRPr="00D45C9E">
              <w:rPr>
                <w:b/>
              </w:rPr>
              <w:t>2016</w:t>
            </w:r>
          </w:p>
        </w:tc>
      </w:tr>
      <w:tr w:rsidR="003C0A3F" w:rsidTr="00D25197">
        <w:trPr>
          <w:trHeight w:val="256"/>
          <w:jc w:val="center"/>
        </w:trPr>
        <w:tc>
          <w:tcPr>
            <w:tcW w:w="2666" w:type="dxa"/>
            <w:tcBorders>
              <w:top w:val="single" w:sz="4" w:space="0" w:color="auto"/>
            </w:tcBorders>
          </w:tcPr>
          <w:p w:rsidR="00D25197" w:rsidRPr="002102DB" w:rsidRDefault="00AF4D6B" w:rsidP="00D25197">
            <w:pPr>
              <w:jc w:val="both"/>
            </w:pPr>
            <w:r w:rsidRPr="002102DB">
              <w:t>Net Credit Sales</w:t>
            </w:r>
          </w:p>
        </w:tc>
        <w:tc>
          <w:tcPr>
            <w:tcW w:w="2666" w:type="dxa"/>
            <w:tcBorders>
              <w:top w:val="single" w:sz="4" w:space="0" w:color="auto"/>
            </w:tcBorders>
            <w:vAlign w:val="bottom"/>
          </w:tcPr>
          <w:p w:rsidR="00D25197" w:rsidRPr="002102DB" w:rsidRDefault="00AF4D6B" w:rsidP="00D25197">
            <w:pPr>
              <w:rPr>
                <w:rFonts w:eastAsia="Times New Roman"/>
                <w:bCs/>
                <w:color w:val="000000"/>
                <w:sz w:val="22"/>
                <w:szCs w:val="22"/>
              </w:rPr>
            </w:pPr>
            <w:r w:rsidRPr="002102DB">
              <w:rPr>
                <w:rFonts w:eastAsia="Times New Roman"/>
                <w:bCs/>
                <w:color w:val="000000"/>
                <w:sz w:val="22"/>
                <w:szCs w:val="22"/>
              </w:rPr>
              <w:t>76,279</w:t>
            </w:r>
          </w:p>
        </w:tc>
        <w:tc>
          <w:tcPr>
            <w:tcW w:w="2666" w:type="dxa"/>
            <w:tcBorders>
              <w:top w:val="single" w:sz="4" w:space="0" w:color="auto"/>
            </w:tcBorders>
            <w:vAlign w:val="bottom"/>
          </w:tcPr>
          <w:p w:rsidR="00D25197" w:rsidRPr="002102DB" w:rsidRDefault="00AF4D6B" w:rsidP="00D25197">
            <w:pPr>
              <w:rPr>
                <w:rFonts w:eastAsia="Times New Roman"/>
                <w:bCs/>
                <w:color w:val="000000"/>
                <w:sz w:val="22"/>
                <w:szCs w:val="22"/>
              </w:rPr>
            </w:pPr>
            <w:r w:rsidRPr="002102DB">
              <w:rPr>
                <w:rFonts w:eastAsia="Times New Roman"/>
                <w:bCs/>
                <w:color w:val="000000"/>
                <w:sz w:val="22"/>
                <w:szCs w:val="22"/>
              </w:rPr>
              <w:t>65,299</w:t>
            </w:r>
          </w:p>
        </w:tc>
      </w:tr>
      <w:tr w:rsidR="003C0A3F" w:rsidTr="00D25197">
        <w:trPr>
          <w:trHeight w:val="256"/>
          <w:jc w:val="center"/>
        </w:trPr>
        <w:tc>
          <w:tcPr>
            <w:tcW w:w="2666" w:type="dxa"/>
            <w:tcBorders>
              <w:bottom w:val="single" w:sz="4" w:space="0" w:color="auto"/>
            </w:tcBorders>
          </w:tcPr>
          <w:p w:rsidR="00D25197" w:rsidRDefault="00AF4D6B" w:rsidP="00D25197">
            <w:pPr>
              <w:jc w:val="both"/>
            </w:pPr>
            <w:r>
              <w:t>Av Acc. Receivables</w:t>
            </w:r>
          </w:p>
        </w:tc>
        <w:tc>
          <w:tcPr>
            <w:tcW w:w="2666" w:type="dxa"/>
            <w:tcBorders>
              <w:bottom w:val="single" w:sz="4" w:space="0" w:color="auto"/>
            </w:tcBorders>
          </w:tcPr>
          <w:p w:rsidR="00D25197" w:rsidRDefault="00AF4D6B" w:rsidP="00D25197">
            <w:pPr>
              <w:jc w:val="both"/>
            </w:pPr>
            <w:r>
              <w:t>4,861</w:t>
            </w:r>
          </w:p>
        </w:tc>
        <w:tc>
          <w:tcPr>
            <w:tcW w:w="2666" w:type="dxa"/>
            <w:tcBorders>
              <w:bottom w:val="single" w:sz="4" w:space="0" w:color="auto"/>
            </w:tcBorders>
          </w:tcPr>
          <w:p w:rsidR="00D25197" w:rsidRDefault="00AF4D6B" w:rsidP="00D25197">
            <w:pPr>
              <w:jc w:val="both"/>
            </w:pPr>
            <w:r>
              <w:t>4,373</w:t>
            </w:r>
          </w:p>
        </w:tc>
      </w:tr>
      <w:tr w:rsidR="003C0A3F" w:rsidTr="00D25197">
        <w:trPr>
          <w:trHeight w:val="270"/>
          <w:jc w:val="center"/>
        </w:trPr>
        <w:tc>
          <w:tcPr>
            <w:tcW w:w="2666" w:type="dxa"/>
            <w:tcBorders>
              <w:top w:val="single" w:sz="4" w:space="0" w:color="auto"/>
            </w:tcBorders>
          </w:tcPr>
          <w:p w:rsidR="00D25197" w:rsidRDefault="00AF4D6B" w:rsidP="00AB7B8E">
            <w:pPr>
              <w:spacing w:line="480" w:lineRule="auto"/>
              <w:jc w:val="both"/>
            </w:pPr>
            <w:r>
              <w:t>Days Sales</w:t>
            </w:r>
          </w:p>
        </w:tc>
        <w:tc>
          <w:tcPr>
            <w:tcW w:w="2666" w:type="dxa"/>
            <w:tcBorders>
              <w:top w:val="single" w:sz="4" w:space="0" w:color="auto"/>
            </w:tcBorders>
          </w:tcPr>
          <w:p w:rsidR="00D25197" w:rsidRDefault="00AF4D6B" w:rsidP="00AB7B8E">
            <w:pPr>
              <w:spacing w:line="480" w:lineRule="auto"/>
              <w:jc w:val="both"/>
            </w:pPr>
            <w:r>
              <w:t xml:space="preserve">24 </w:t>
            </w:r>
          </w:p>
        </w:tc>
        <w:tc>
          <w:tcPr>
            <w:tcW w:w="2666" w:type="dxa"/>
            <w:tcBorders>
              <w:top w:val="single" w:sz="4" w:space="0" w:color="auto"/>
            </w:tcBorders>
          </w:tcPr>
          <w:p w:rsidR="00D25197" w:rsidRDefault="00AF4D6B" w:rsidP="00AB7B8E">
            <w:pPr>
              <w:keepNext/>
              <w:spacing w:line="480" w:lineRule="auto"/>
              <w:jc w:val="both"/>
            </w:pPr>
            <w:r>
              <w:t xml:space="preserve">25 </w:t>
            </w:r>
          </w:p>
        </w:tc>
      </w:tr>
    </w:tbl>
    <w:p w:rsidR="00D25197" w:rsidRPr="00AB7B8E" w:rsidRDefault="00AF4D6B" w:rsidP="00AB7B8E">
      <w:pPr>
        <w:pStyle w:val="af"/>
        <w:spacing w:line="480" w:lineRule="auto"/>
        <w:rPr>
          <w:b w:val="0"/>
          <w:i/>
          <w:color w:val="auto"/>
          <w:sz w:val="24"/>
          <w:szCs w:val="24"/>
        </w:rPr>
      </w:pPr>
      <w:r w:rsidRPr="00AB7B8E">
        <w:rPr>
          <w:b w:val="0"/>
          <w:color w:val="auto"/>
          <w:sz w:val="24"/>
          <w:szCs w:val="24"/>
        </w:rPr>
        <w:t xml:space="preserve">Table </w:t>
      </w:r>
      <w:r w:rsidR="00AB7B8E">
        <w:rPr>
          <w:b w:val="0"/>
          <w:color w:val="auto"/>
          <w:sz w:val="24"/>
          <w:szCs w:val="24"/>
        </w:rPr>
        <w:t>15</w:t>
      </w:r>
      <w:r w:rsidRPr="00AB7B8E">
        <w:rPr>
          <w:b w:val="0"/>
          <w:color w:val="auto"/>
          <w:sz w:val="24"/>
          <w:szCs w:val="24"/>
        </w:rPr>
        <w:t xml:space="preserve"> </w:t>
      </w:r>
      <w:r w:rsidRPr="00AB7B8E">
        <w:rPr>
          <w:b w:val="0"/>
          <w:i/>
          <w:color w:val="auto"/>
          <w:sz w:val="24"/>
          <w:szCs w:val="24"/>
        </w:rPr>
        <w:t>P&amp;G Days Sales in Accounts Receivable</w:t>
      </w:r>
    </w:p>
    <w:p w:rsidR="00D25197" w:rsidRDefault="00AF4D6B" w:rsidP="00AB7B8E">
      <w:pPr>
        <w:ind w:firstLine="709"/>
      </w:pPr>
      <w:r>
        <w:t>P&amp;G Company</w:t>
      </w:r>
      <w:r w:rsidR="00AB7B8E">
        <w:t>’s</w:t>
      </w:r>
      <w:r>
        <w:t xml:space="preserve"> ability to collect cash from the customers within 24 and 25 days for the years 2015 and 2016 </w:t>
      </w:r>
      <w:r w:rsidR="00AB7B8E">
        <w:t>is more</w:t>
      </w:r>
      <w:r>
        <w:t xml:space="preserve"> favorable compared to EPC. </w:t>
      </w:r>
    </w:p>
    <w:p w:rsidR="00AB7B8E" w:rsidRDefault="00AB7B8E" w:rsidP="00AB7B8E">
      <w:pPr>
        <w:ind w:firstLine="709"/>
      </w:pPr>
    </w:p>
    <w:p w:rsidR="00AB7B8E" w:rsidRDefault="00AB7B8E" w:rsidP="00AB7B8E">
      <w:pPr>
        <w:ind w:firstLine="709"/>
      </w:pPr>
    </w:p>
    <w:p w:rsidR="00D25197" w:rsidRPr="00C85F14" w:rsidRDefault="00AF4D6B" w:rsidP="00AB7B8E">
      <w:pPr>
        <w:rPr>
          <w:b/>
        </w:rPr>
      </w:pPr>
      <w:r w:rsidRPr="00C85F14">
        <w:rPr>
          <w:b/>
        </w:rPr>
        <w:lastRenderedPageBreak/>
        <w:t>Inventory Turnover and Days Outstanding Ratio</w:t>
      </w:r>
    </w:p>
    <w:p w:rsidR="00D25197" w:rsidRDefault="00AF4D6B" w:rsidP="00D25197">
      <w:pPr>
        <w:ind w:firstLine="720"/>
        <w:jc w:val="both"/>
      </w:pPr>
      <w:r>
        <w:t>Inventory turnover ratio measures the f</w:t>
      </w:r>
      <w:r w:rsidR="00FA65C6">
        <w:t>requency in which a company sell</w:t>
      </w:r>
      <w:r>
        <w:t xml:space="preserve"> its inventory within a financial period. The frequency depends on the volume of purchases and sales made by </w:t>
      </w:r>
      <w:r w:rsidR="00FA65C6">
        <w:t>the</w:t>
      </w:r>
      <w:r>
        <w:t xml:space="preserve"> company. Thus, to improve turnover the company has to make a larger amount of sales. It is calculated by dividing the cost of sales and average inventory. O</w:t>
      </w:r>
      <w:r w:rsidR="00FA65C6">
        <w:t>n the other hand, inventory day</w:t>
      </w:r>
      <w:r>
        <w:t>s outstanding ratio measures the number of days that a company would take to sell its entire inventory. It is calculated by dividing ending inventory with the cost of sales and multiplying it by 365 days.</w:t>
      </w:r>
    </w:p>
    <w:p w:rsidR="00D25197" w:rsidRPr="00C85F14" w:rsidRDefault="00AF4D6B" w:rsidP="00D25197">
      <w:pPr>
        <w:jc w:val="center"/>
        <w:rPr>
          <w:b/>
        </w:rPr>
      </w:pPr>
      <w:r w:rsidRPr="00C85F14">
        <w:rPr>
          <w:b/>
        </w:rPr>
        <w:t>EPC Inventory Turnover and Days Outstanding Ratio</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6"/>
        <w:gridCol w:w="2666"/>
        <w:gridCol w:w="2666"/>
      </w:tblGrid>
      <w:tr w:rsidR="003C0A3F" w:rsidTr="00D25197">
        <w:trPr>
          <w:trHeight w:val="256"/>
          <w:jc w:val="center"/>
        </w:trPr>
        <w:tc>
          <w:tcPr>
            <w:tcW w:w="2666" w:type="dxa"/>
            <w:tcBorders>
              <w:top w:val="single" w:sz="4" w:space="0" w:color="auto"/>
              <w:bottom w:val="single" w:sz="4" w:space="0" w:color="auto"/>
            </w:tcBorders>
          </w:tcPr>
          <w:p w:rsidR="00D25197" w:rsidRDefault="00D25197" w:rsidP="00D25197">
            <w:pPr>
              <w:jc w:val="both"/>
            </w:pPr>
          </w:p>
        </w:tc>
        <w:tc>
          <w:tcPr>
            <w:tcW w:w="2666" w:type="dxa"/>
            <w:tcBorders>
              <w:top w:val="single" w:sz="4" w:space="0" w:color="auto"/>
              <w:bottom w:val="single" w:sz="4" w:space="0" w:color="auto"/>
            </w:tcBorders>
          </w:tcPr>
          <w:p w:rsidR="00D25197" w:rsidRPr="00D45C9E" w:rsidRDefault="00AF4D6B" w:rsidP="00D25197">
            <w:pPr>
              <w:jc w:val="both"/>
              <w:rPr>
                <w:b/>
              </w:rPr>
            </w:pPr>
            <w:r w:rsidRPr="00D45C9E">
              <w:rPr>
                <w:b/>
              </w:rPr>
              <w:t>2015</w:t>
            </w:r>
          </w:p>
        </w:tc>
        <w:tc>
          <w:tcPr>
            <w:tcW w:w="2666" w:type="dxa"/>
            <w:tcBorders>
              <w:top w:val="single" w:sz="4" w:space="0" w:color="auto"/>
              <w:bottom w:val="single" w:sz="4" w:space="0" w:color="auto"/>
            </w:tcBorders>
          </w:tcPr>
          <w:p w:rsidR="00D25197" w:rsidRPr="00D45C9E" w:rsidRDefault="00AF4D6B" w:rsidP="00D25197">
            <w:pPr>
              <w:jc w:val="both"/>
              <w:rPr>
                <w:b/>
              </w:rPr>
            </w:pPr>
            <w:r w:rsidRPr="00D45C9E">
              <w:rPr>
                <w:b/>
              </w:rPr>
              <w:t>2016</w:t>
            </w:r>
          </w:p>
        </w:tc>
      </w:tr>
      <w:tr w:rsidR="003C0A3F" w:rsidTr="00D25197">
        <w:trPr>
          <w:trHeight w:val="256"/>
          <w:jc w:val="center"/>
        </w:trPr>
        <w:tc>
          <w:tcPr>
            <w:tcW w:w="2666" w:type="dxa"/>
            <w:tcBorders>
              <w:top w:val="single" w:sz="4" w:space="0" w:color="auto"/>
            </w:tcBorders>
          </w:tcPr>
          <w:p w:rsidR="00D25197" w:rsidRDefault="00AF4D6B" w:rsidP="00D25197">
            <w:pPr>
              <w:jc w:val="both"/>
            </w:pPr>
            <w:r>
              <w:t>Cost of Goods Sold</w:t>
            </w:r>
          </w:p>
        </w:tc>
        <w:tc>
          <w:tcPr>
            <w:tcW w:w="2666" w:type="dxa"/>
            <w:tcBorders>
              <w:top w:val="single" w:sz="4" w:space="0" w:color="auto"/>
            </w:tcBorders>
            <w:vAlign w:val="bottom"/>
          </w:tcPr>
          <w:p w:rsidR="00D25197" w:rsidRPr="006F49E0" w:rsidRDefault="00AF4D6B" w:rsidP="00D25197">
            <w:pPr>
              <w:rPr>
                <w:rFonts w:eastAsia="Times New Roman"/>
                <w:bCs/>
                <w:color w:val="000000"/>
                <w:sz w:val="22"/>
                <w:szCs w:val="22"/>
              </w:rPr>
            </w:pPr>
            <w:r>
              <w:rPr>
                <w:rFonts w:eastAsia="Times New Roman"/>
                <w:color w:val="000000"/>
                <w:sz w:val="22"/>
                <w:szCs w:val="22"/>
              </w:rPr>
              <w:t>1,230</w:t>
            </w:r>
          </w:p>
        </w:tc>
        <w:tc>
          <w:tcPr>
            <w:tcW w:w="2666" w:type="dxa"/>
            <w:tcBorders>
              <w:top w:val="single" w:sz="4" w:space="0" w:color="auto"/>
            </w:tcBorders>
            <w:vAlign w:val="bottom"/>
          </w:tcPr>
          <w:p w:rsidR="00D25197" w:rsidRPr="006F49E0" w:rsidRDefault="00AF4D6B" w:rsidP="00D25197">
            <w:pPr>
              <w:rPr>
                <w:rFonts w:eastAsia="Times New Roman"/>
                <w:bCs/>
                <w:color w:val="000000"/>
                <w:sz w:val="22"/>
                <w:szCs w:val="22"/>
              </w:rPr>
            </w:pPr>
            <w:r>
              <w:rPr>
                <w:rFonts w:eastAsia="Times New Roman"/>
                <w:color w:val="000000"/>
                <w:sz w:val="22"/>
                <w:szCs w:val="22"/>
              </w:rPr>
              <w:t>1,200</w:t>
            </w:r>
          </w:p>
        </w:tc>
      </w:tr>
      <w:tr w:rsidR="003C0A3F" w:rsidTr="00D25197">
        <w:trPr>
          <w:trHeight w:val="256"/>
          <w:jc w:val="center"/>
        </w:trPr>
        <w:tc>
          <w:tcPr>
            <w:tcW w:w="2666" w:type="dxa"/>
          </w:tcPr>
          <w:p w:rsidR="00D25197" w:rsidRDefault="00AF4D6B" w:rsidP="00D25197">
            <w:pPr>
              <w:jc w:val="both"/>
            </w:pPr>
            <w:r>
              <w:t>Average Inventory</w:t>
            </w:r>
          </w:p>
        </w:tc>
        <w:tc>
          <w:tcPr>
            <w:tcW w:w="2666" w:type="dxa"/>
          </w:tcPr>
          <w:p w:rsidR="00D25197" w:rsidRDefault="00AF4D6B" w:rsidP="00D25197">
            <w:pPr>
              <w:jc w:val="both"/>
            </w:pPr>
            <w:r>
              <w:t>33,280</w:t>
            </w:r>
          </w:p>
        </w:tc>
        <w:tc>
          <w:tcPr>
            <w:tcW w:w="2666" w:type="dxa"/>
          </w:tcPr>
          <w:p w:rsidR="00D25197" w:rsidRDefault="00AF4D6B" w:rsidP="00D25197">
            <w:pPr>
              <w:jc w:val="both"/>
            </w:pPr>
            <w:r>
              <w:t>30,920</w:t>
            </w:r>
            <w:r w:rsidRPr="000C3C9B">
              <w:tab/>
            </w:r>
          </w:p>
        </w:tc>
      </w:tr>
      <w:tr w:rsidR="003C0A3F" w:rsidTr="00D25197">
        <w:trPr>
          <w:trHeight w:val="270"/>
          <w:jc w:val="center"/>
        </w:trPr>
        <w:tc>
          <w:tcPr>
            <w:tcW w:w="2666" w:type="dxa"/>
            <w:tcBorders>
              <w:bottom w:val="single" w:sz="4" w:space="0" w:color="auto"/>
            </w:tcBorders>
          </w:tcPr>
          <w:p w:rsidR="00D25197" w:rsidRDefault="00AF4D6B" w:rsidP="00D25197">
            <w:pPr>
              <w:jc w:val="both"/>
            </w:pPr>
            <w:r>
              <w:t>Inventory Turnover</w:t>
            </w:r>
          </w:p>
        </w:tc>
        <w:tc>
          <w:tcPr>
            <w:tcW w:w="2666" w:type="dxa"/>
            <w:tcBorders>
              <w:bottom w:val="single" w:sz="4" w:space="0" w:color="auto"/>
            </w:tcBorders>
          </w:tcPr>
          <w:p w:rsidR="00D25197" w:rsidRDefault="00AF4D6B" w:rsidP="00D25197">
            <w:pPr>
              <w:jc w:val="both"/>
            </w:pPr>
            <w:r>
              <w:t>27</w:t>
            </w:r>
          </w:p>
        </w:tc>
        <w:tc>
          <w:tcPr>
            <w:tcW w:w="2666" w:type="dxa"/>
            <w:tcBorders>
              <w:bottom w:val="single" w:sz="4" w:space="0" w:color="auto"/>
            </w:tcBorders>
          </w:tcPr>
          <w:p w:rsidR="00D25197" w:rsidRDefault="00AF4D6B" w:rsidP="00D25197">
            <w:pPr>
              <w:keepNext/>
              <w:jc w:val="both"/>
            </w:pPr>
            <w:r>
              <w:t>26</w:t>
            </w:r>
          </w:p>
        </w:tc>
      </w:tr>
      <w:tr w:rsidR="003C0A3F" w:rsidTr="00D25197">
        <w:trPr>
          <w:trHeight w:val="270"/>
          <w:jc w:val="center"/>
        </w:trPr>
        <w:tc>
          <w:tcPr>
            <w:tcW w:w="2666" w:type="dxa"/>
            <w:tcBorders>
              <w:top w:val="single" w:sz="4" w:space="0" w:color="auto"/>
            </w:tcBorders>
          </w:tcPr>
          <w:p w:rsidR="00D25197" w:rsidRDefault="00AF4D6B" w:rsidP="00FA65C6">
            <w:pPr>
              <w:spacing w:line="480" w:lineRule="auto"/>
              <w:jc w:val="both"/>
            </w:pPr>
            <w:r>
              <w:t>Days Outstanding</w:t>
            </w:r>
            <w:r w:rsidRPr="000C3C9B">
              <w:tab/>
            </w:r>
          </w:p>
        </w:tc>
        <w:tc>
          <w:tcPr>
            <w:tcW w:w="2666" w:type="dxa"/>
            <w:tcBorders>
              <w:top w:val="single" w:sz="4" w:space="0" w:color="auto"/>
            </w:tcBorders>
          </w:tcPr>
          <w:p w:rsidR="00D25197" w:rsidRDefault="00AF4D6B" w:rsidP="00FA65C6">
            <w:pPr>
              <w:spacing w:line="480" w:lineRule="auto"/>
              <w:jc w:val="both"/>
            </w:pPr>
            <w:r>
              <w:t>14</w:t>
            </w:r>
          </w:p>
        </w:tc>
        <w:tc>
          <w:tcPr>
            <w:tcW w:w="2666" w:type="dxa"/>
            <w:tcBorders>
              <w:top w:val="single" w:sz="4" w:space="0" w:color="auto"/>
            </w:tcBorders>
          </w:tcPr>
          <w:p w:rsidR="00D25197" w:rsidRDefault="00AF4D6B" w:rsidP="00FA65C6">
            <w:pPr>
              <w:keepNext/>
              <w:spacing w:line="480" w:lineRule="auto"/>
              <w:jc w:val="both"/>
            </w:pPr>
            <w:r>
              <w:t>14</w:t>
            </w:r>
          </w:p>
        </w:tc>
      </w:tr>
    </w:tbl>
    <w:p w:rsidR="00D25197" w:rsidRPr="00FA65C6" w:rsidRDefault="00AF4D6B" w:rsidP="00FA65C6">
      <w:pPr>
        <w:pStyle w:val="af"/>
        <w:spacing w:line="480" w:lineRule="auto"/>
        <w:rPr>
          <w:b w:val="0"/>
          <w:color w:val="auto"/>
          <w:sz w:val="24"/>
          <w:szCs w:val="24"/>
        </w:rPr>
      </w:pPr>
      <w:r w:rsidRPr="00FA65C6">
        <w:rPr>
          <w:b w:val="0"/>
          <w:color w:val="auto"/>
          <w:sz w:val="24"/>
          <w:szCs w:val="24"/>
        </w:rPr>
        <w:t xml:space="preserve">Table </w:t>
      </w:r>
      <w:r w:rsidR="00FA65C6">
        <w:rPr>
          <w:b w:val="0"/>
          <w:color w:val="auto"/>
          <w:sz w:val="24"/>
          <w:szCs w:val="24"/>
        </w:rPr>
        <w:t>16</w:t>
      </w:r>
      <w:r w:rsidRPr="00FA65C6">
        <w:rPr>
          <w:b w:val="0"/>
          <w:color w:val="auto"/>
          <w:sz w:val="24"/>
          <w:szCs w:val="24"/>
        </w:rPr>
        <w:t xml:space="preserve"> </w:t>
      </w:r>
      <w:r w:rsidRPr="00FA65C6">
        <w:rPr>
          <w:b w:val="0"/>
          <w:i/>
          <w:color w:val="auto"/>
          <w:sz w:val="24"/>
          <w:szCs w:val="24"/>
        </w:rPr>
        <w:t>EPC Inventory Turnover and Days Outstanding Ratio</w:t>
      </w:r>
    </w:p>
    <w:p w:rsidR="00D25197" w:rsidRPr="00C85F14" w:rsidRDefault="00AF4D6B" w:rsidP="00D25197">
      <w:pPr>
        <w:jc w:val="center"/>
        <w:rPr>
          <w:b/>
        </w:rPr>
      </w:pPr>
      <w:r w:rsidRPr="00C85F14">
        <w:rPr>
          <w:b/>
        </w:rPr>
        <w:t>P&amp;G Inventory Turnover and Days Outstanding Ratio</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6"/>
        <w:gridCol w:w="2666"/>
        <w:gridCol w:w="2666"/>
      </w:tblGrid>
      <w:tr w:rsidR="003C0A3F" w:rsidTr="00D25197">
        <w:trPr>
          <w:trHeight w:val="256"/>
          <w:jc w:val="center"/>
        </w:trPr>
        <w:tc>
          <w:tcPr>
            <w:tcW w:w="2666" w:type="dxa"/>
            <w:tcBorders>
              <w:top w:val="single" w:sz="4" w:space="0" w:color="auto"/>
              <w:bottom w:val="single" w:sz="4" w:space="0" w:color="auto"/>
            </w:tcBorders>
          </w:tcPr>
          <w:p w:rsidR="00D25197" w:rsidRDefault="00D25197" w:rsidP="00D25197">
            <w:pPr>
              <w:jc w:val="both"/>
            </w:pPr>
          </w:p>
        </w:tc>
        <w:tc>
          <w:tcPr>
            <w:tcW w:w="2666" w:type="dxa"/>
            <w:tcBorders>
              <w:top w:val="single" w:sz="4" w:space="0" w:color="auto"/>
              <w:bottom w:val="single" w:sz="4" w:space="0" w:color="auto"/>
            </w:tcBorders>
          </w:tcPr>
          <w:p w:rsidR="00D25197" w:rsidRPr="00D45C9E" w:rsidRDefault="00AF4D6B" w:rsidP="00D25197">
            <w:pPr>
              <w:jc w:val="both"/>
              <w:rPr>
                <w:b/>
              </w:rPr>
            </w:pPr>
            <w:r w:rsidRPr="00D45C9E">
              <w:rPr>
                <w:b/>
              </w:rPr>
              <w:t>2015</w:t>
            </w:r>
          </w:p>
        </w:tc>
        <w:tc>
          <w:tcPr>
            <w:tcW w:w="2666" w:type="dxa"/>
            <w:tcBorders>
              <w:top w:val="single" w:sz="4" w:space="0" w:color="auto"/>
              <w:bottom w:val="single" w:sz="4" w:space="0" w:color="auto"/>
            </w:tcBorders>
          </w:tcPr>
          <w:p w:rsidR="00D25197" w:rsidRPr="00D45C9E" w:rsidRDefault="00AF4D6B" w:rsidP="00D25197">
            <w:pPr>
              <w:jc w:val="both"/>
              <w:rPr>
                <w:b/>
              </w:rPr>
            </w:pPr>
            <w:r w:rsidRPr="00D45C9E">
              <w:rPr>
                <w:b/>
              </w:rPr>
              <w:t>2016</w:t>
            </w:r>
          </w:p>
        </w:tc>
      </w:tr>
      <w:tr w:rsidR="003C0A3F" w:rsidTr="00D25197">
        <w:trPr>
          <w:trHeight w:val="256"/>
          <w:jc w:val="center"/>
        </w:trPr>
        <w:tc>
          <w:tcPr>
            <w:tcW w:w="2666" w:type="dxa"/>
            <w:tcBorders>
              <w:top w:val="single" w:sz="4" w:space="0" w:color="auto"/>
            </w:tcBorders>
          </w:tcPr>
          <w:p w:rsidR="00D25197" w:rsidRDefault="00AF4D6B" w:rsidP="00D25197">
            <w:pPr>
              <w:jc w:val="both"/>
            </w:pPr>
            <w:r>
              <w:t>Cost of Goods Sold</w:t>
            </w:r>
          </w:p>
        </w:tc>
        <w:tc>
          <w:tcPr>
            <w:tcW w:w="2666" w:type="dxa"/>
            <w:tcBorders>
              <w:top w:val="single" w:sz="4" w:space="0" w:color="auto"/>
            </w:tcBorders>
          </w:tcPr>
          <w:p w:rsidR="00D25197" w:rsidRPr="006F49E0" w:rsidRDefault="00AF4D6B" w:rsidP="00D25197">
            <w:pPr>
              <w:rPr>
                <w:rFonts w:eastAsia="Times New Roman"/>
                <w:bCs/>
                <w:color w:val="000000"/>
                <w:sz w:val="22"/>
                <w:szCs w:val="22"/>
              </w:rPr>
            </w:pPr>
            <w:r w:rsidRPr="001C5542">
              <w:t>32,909,000</w:t>
            </w:r>
            <w:r w:rsidR="00A268B4">
              <w:t>.0</w:t>
            </w:r>
            <w:r w:rsidRPr="001C5542">
              <w:t xml:space="preserve"> </w:t>
            </w:r>
          </w:p>
        </w:tc>
        <w:tc>
          <w:tcPr>
            <w:tcW w:w="2666" w:type="dxa"/>
            <w:tcBorders>
              <w:top w:val="single" w:sz="4" w:space="0" w:color="auto"/>
            </w:tcBorders>
          </w:tcPr>
          <w:p w:rsidR="00D25197" w:rsidRPr="006F49E0" w:rsidRDefault="00AF4D6B" w:rsidP="00D25197">
            <w:pPr>
              <w:rPr>
                <w:rFonts w:eastAsia="Times New Roman"/>
                <w:bCs/>
                <w:color w:val="000000"/>
                <w:sz w:val="22"/>
                <w:szCs w:val="22"/>
              </w:rPr>
            </w:pPr>
            <w:r w:rsidRPr="001C5542">
              <w:t>37,056,000</w:t>
            </w:r>
            <w:r w:rsidR="00A268B4">
              <w:t>.0</w:t>
            </w:r>
            <w:r w:rsidRPr="001C5542">
              <w:t xml:space="preserve"> </w:t>
            </w:r>
          </w:p>
        </w:tc>
      </w:tr>
      <w:tr w:rsidR="003C0A3F" w:rsidTr="00D25197">
        <w:trPr>
          <w:trHeight w:val="256"/>
          <w:jc w:val="center"/>
        </w:trPr>
        <w:tc>
          <w:tcPr>
            <w:tcW w:w="2666" w:type="dxa"/>
          </w:tcPr>
          <w:p w:rsidR="00D25197" w:rsidRDefault="00AF4D6B" w:rsidP="00D25197">
            <w:pPr>
              <w:jc w:val="both"/>
            </w:pPr>
            <w:r>
              <w:t>Average Inventory</w:t>
            </w:r>
          </w:p>
        </w:tc>
        <w:tc>
          <w:tcPr>
            <w:tcW w:w="2666" w:type="dxa"/>
          </w:tcPr>
          <w:p w:rsidR="00D25197" w:rsidRDefault="00AF4D6B" w:rsidP="00D25197">
            <w:pPr>
              <w:jc w:val="both"/>
            </w:pPr>
            <w:r w:rsidRPr="005523A5">
              <w:t>4,979,000</w:t>
            </w:r>
            <w:r w:rsidR="00A268B4">
              <w:t>.0</w:t>
            </w:r>
          </w:p>
        </w:tc>
        <w:tc>
          <w:tcPr>
            <w:tcW w:w="2666" w:type="dxa"/>
          </w:tcPr>
          <w:p w:rsidR="00D25197" w:rsidRDefault="00AF4D6B" w:rsidP="00D25197">
            <w:pPr>
              <w:jc w:val="both"/>
            </w:pPr>
            <w:r w:rsidRPr="005523A5">
              <w:t>4,716,000</w:t>
            </w:r>
            <w:r w:rsidR="00A268B4">
              <w:t>.0</w:t>
            </w:r>
          </w:p>
        </w:tc>
      </w:tr>
      <w:tr w:rsidR="003C0A3F" w:rsidTr="00D25197">
        <w:trPr>
          <w:trHeight w:val="270"/>
          <w:jc w:val="center"/>
        </w:trPr>
        <w:tc>
          <w:tcPr>
            <w:tcW w:w="2666" w:type="dxa"/>
            <w:tcBorders>
              <w:bottom w:val="single" w:sz="4" w:space="0" w:color="auto"/>
            </w:tcBorders>
          </w:tcPr>
          <w:p w:rsidR="00D25197" w:rsidRDefault="00AF4D6B" w:rsidP="00D25197">
            <w:pPr>
              <w:jc w:val="both"/>
            </w:pPr>
            <w:r>
              <w:t>Inventory Turnover</w:t>
            </w:r>
            <w:r w:rsidRPr="005523A5">
              <w:tab/>
            </w:r>
          </w:p>
        </w:tc>
        <w:tc>
          <w:tcPr>
            <w:tcW w:w="2666" w:type="dxa"/>
            <w:tcBorders>
              <w:bottom w:val="single" w:sz="4" w:space="0" w:color="auto"/>
            </w:tcBorders>
          </w:tcPr>
          <w:p w:rsidR="00D25197" w:rsidRDefault="00AF4D6B" w:rsidP="00D25197">
            <w:pPr>
              <w:jc w:val="both"/>
            </w:pPr>
            <w:r>
              <w:t>6.6</w:t>
            </w:r>
          </w:p>
        </w:tc>
        <w:tc>
          <w:tcPr>
            <w:tcW w:w="2666" w:type="dxa"/>
            <w:tcBorders>
              <w:bottom w:val="single" w:sz="4" w:space="0" w:color="auto"/>
            </w:tcBorders>
          </w:tcPr>
          <w:p w:rsidR="00D25197" w:rsidRDefault="00AF4D6B" w:rsidP="00D25197">
            <w:pPr>
              <w:keepNext/>
              <w:jc w:val="both"/>
            </w:pPr>
            <w:r>
              <w:t>7.9</w:t>
            </w:r>
          </w:p>
        </w:tc>
      </w:tr>
      <w:tr w:rsidR="003C0A3F" w:rsidTr="00D25197">
        <w:trPr>
          <w:trHeight w:val="270"/>
          <w:jc w:val="center"/>
        </w:trPr>
        <w:tc>
          <w:tcPr>
            <w:tcW w:w="2666" w:type="dxa"/>
            <w:tcBorders>
              <w:top w:val="single" w:sz="4" w:space="0" w:color="auto"/>
            </w:tcBorders>
          </w:tcPr>
          <w:p w:rsidR="00D25197" w:rsidRDefault="00AF4D6B" w:rsidP="00A268B4">
            <w:pPr>
              <w:spacing w:line="480" w:lineRule="auto"/>
              <w:jc w:val="both"/>
            </w:pPr>
            <w:r>
              <w:t>Days Outstanding</w:t>
            </w:r>
          </w:p>
        </w:tc>
        <w:tc>
          <w:tcPr>
            <w:tcW w:w="2666" w:type="dxa"/>
            <w:tcBorders>
              <w:top w:val="single" w:sz="4" w:space="0" w:color="auto"/>
            </w:tcBorders>
          </w:tcPr>
          <w:p w:rsidR="00D25197" w:rsidRDefault="00AF4D6B" w:rsidP="00A268B4">
            <w:pPr>
              <w:spacing w:line="480" w:lineRule="auto"/>
              <w:jc w:val="both"/>
            </w:pPr>
            <w:r>
              <w:t>56</w:t>
            </w:r>
            <w:r w:rsidR="00A268B4">
              <w:t>.0</w:t>
            </w:r>
          </w:p>
        </w:tc>
        <w:tc>
          <w:tcPr>
            <w:tcW w:w="2666" w:type="dxa"/>
            <w:tcBorders>
              <w:top w:val="single" w:sz="4" w:space="0" w:color="auto"/>
            </w:tcBorders>
          </w:tcPr>
          <w:p w:rsidR="00D25197" w:rsidRDefault="00AF4D6B" w:rsidP="00A268B4">
            <w:pPr>
              <w:keepNext/>
              <w:spacing w:line="480" w:lineRule="auto"/>
              <w:jc w:val="both"/>
            </w:pPr>
            <w:r>
              <w:t>47</w:t>
            </w:r>
            <w:r w:rsidR="00A268B4">
              <w:t>.0</w:t>
            </w:r>
          </w:p>
        </w:tc>
      </w:tr>
    </w:tbl>
    <w:p w:rsidR="00D25197" w:rsidRPr="00A268B4" w:rsidRDefault="00AF4D6B" w:rsidP="00A268B4">
      <w:pPr>
        <w:pStyle w:val="af"/>
        <w:spacing w:line="480" w:lineRule="auto"/>
        <w:rPr>
          <w:b w:val="0"/>
          <w:color w:val="auto"/>
          <w:sz w:val="24"/>
          <w:szCs w:val="24"/>
        </w:rPr>
      </w:pPr>
      <w:r w:rsidRPr="00A268B4">
        <w:rPr>
          <w:b w:val="0"/>
          <w:color w:val="auto"/>
          <w:sz w:val="24"/>
          <w:szCs w:val="24"/>
        </w:rPr>
        <w:t xml:space="preserve">Table </w:t>
      </w:r>
      <w:r w:rsidR="00A268B4">
        <w:rPr>
          <w:b w:val="0"/>
          <w:color w:val="auto"/>
          <w:sz w:val="24"/>
          <w:szCs w:val="24"/>
        </w:rPr>
        <w:t xml:space="preserve">17 </w:t>
      </w:r>
      <w:r w:rsidRPr="00A268B4">
        <w:rPr>
          <w:b w:val="0"/>
          <w:i/>
          <w:color w:val="auto"/>
          <w:sz w:val="24"/>
          <w:szCs w:val="24"/>
        </w:rPr>
        <w:t>P&amp;G Inventory Turnover and Days Outstanding Ratio</w:t>
      </w:r>
    </w:p>
    <w:p w:rsidR="00B51E1D" w:rsidRDefault="00B51E1D" w:rsidP="00D25197">
      <w:pPr>
        <w:jc w:val="center"/>
        <w:rPr>
          <w:b/>
        </w:rPr>
      </w:pPr>
    </w:p>
    <w:p w:rsidR="00B51E1D" w:rsidRDefault="00B51E1D" w:rsidP="00D25197">
      <w:pPr>
        <w:jc w:val="center"/>
        <w:rPr>
          <w:b/>
        </w:rPr>
      </w:pPr>
    </w:p>
    <w:p w:rsidR="00D25197" w:rsidRPr="00312D18" w:rsidRDefault="00AF4D6B" w:rsidP="00D25197">
      <w:pPr>
        <w:jc w:val="center"/>
        <w:rPr>
          <w:b/>
        </w:rPr>
      </w:pPr>
      <w:r w:rsidRPr="00312D18">
        <w:rPr>
          <w:b/>
        </w:rPr>
        <w:lastRenderedPageBreak/>
        <w:t>Market Value Ratio</w:t>
      </w:r>
    </w:p>
    <w:p w:rsidR="00D25197" w:rsidRPr="00C85F14" w:rsidRDefault="00AF4D6B" w:rsidP="00C85F14">
      <w:pPr>
        <w:rPr>
          <w:b/>
        </w:rPr>
      </w:pPr>
      <w:r w:rsidRPr="00C85F14">
        <w:rPr>
          <w:b/>
        </w:rPr>
        <w:t>Price/Earnings Multiple</w:t>
      </w:r>
    </w:p>
    <w:p w:rsidR="00D25197" w:rsidRDefault="00AF4D6B" w:rsidP="00D25197">
      <w:pPr>
        <w:ind w:firstLine="720"/>
      </w:pPr>
      <w:r>
        <w:t xml:space="preserve"> P/E ratio of a company compares the market value of a stock to its earnings. In other words, the ratio compares the market and earning per share. Thus, a high P/E ratio is a sign of positive performance of a company in future. Similarly, a low P/E ratio indicates that a company is currently performing poorly. </w:t>
      </w:r>
      <w:r w:rsidR="00B51E1D">
        <w:t>The ratio</w:t>
      </w:r>
      <w:r>
        <w:t xml:space="preserve"> is calculated as market price per share divided by earning price per share.  </w:t>
      </w:r>
    </w:p>
    <w:p w:rsidR="00D25197" w:rsidRPr="00C85F14" w:rsidRDefault="00AF4D6B" w:rsidP="00D25197">
      <w:pPr>
        <w:ind w:firstLine="720"/>
        <w:jc w:val="center"/>
        <w:rPr>
          <w:b/>
        </w:rPr>
      </w:pPr>
      <w:r w:rsidRPr="00C85F14">
        <w:rPr>
          <w:b/>
        </w:rPr>
        <w:t>EPC Price/Earnings Multiple</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1"/>
        <w:gridCol w:w="2571"/>
        <w:gridCol w:w="2571"/>
      </w:tblGrid>
      <w:tr w:rsidR="003C0A3F" w:rsidTr="00D25197">
        <w:trPr>
          <w:trHeight w:val="259"/>
          <w:jc w:val="center"/>
        </w:trPr>
        <w:tc>
          <w:tcPr>
            <w:tcW w:w="2571" w:type="dxa"/>
            <w:tcBorders>
              <w:top w:val="single" w:sz="4" w:space="0" w:color="auto"/>
              <w:bottom w:val="single" w:sz="4" w:space="0" w:color="auto"/>
            </w:tcBorders>
          </w:tcPr>
          <w:p w:rsidR="00D25197" w:rsidRPr="00997ECF" w:rsidRDefault="00D25197" w:rsidP="00D25197">
            <w:pPr>
              <w:jc w:val="both"/>
              <w:rPr>
                <w:b/>
              </w:rPr>
            </w:pPr>
          </w:p>
        </w:tc>
        <w:tc>
          <w:tcPr>
            <w:tcW w:w="2571" w:type="dxa"/>
            <w:tcBorders>
              <w:top w:val="single" w:sz="4" w:space="0" w:color="auto"/>
              <w:bottom w:val="single" w:sz="4" w:space="0" w:color="auto"/>
            </w:tcBorders>
          </w:tcPr>
          <w:p w:rsidR="00D25197" w:rsidRPr="008F3078" w:rsidRDefault="00AF4D6B" w:rsidP="00D25197">
            <w:pPr>
              <w:jc w:val="both"/>
              <w:rPr>
                <w:b/>
              </w:rPr>
            </w:pPr>
            <w:r w:rsidRPr="008F3078">
              <w:rPr>
                <w:b/>
              </w:rPr>
              <w:t>2015</w:t>
            </w:r>
          </w:p>
        </w:tc>
        <w:tc>
          <w:tcPr>
            <w:tcW w:w="2571" w:type="dxa"/>
            <w:tcBorders>
              <w:top w:val="single" w:sz="4" w:space="0" w:color="auto"/>
              <w:bottom w:val="single" w:sz="4" w:space="0" w:color="auto"/>
            </w:tcBorders>
          </w:tcPr>
          <w:p w:rsidR="00D25197" w:rsidRPr="008F3078" w:rsidRDefault="00AF4D6B" w:rsidP="00D25197">
            <w:pPr>
              <w:jc w:val="both"/>
              <w:rPr>
                <w:b/>
              </w:rPr>
            </w:pPr>
            <w:r w:rsidRPr="008F3078">
              <w:rPr>
                <w:b/>
              </w:rPr>
              <w:t>2016</w:t>
            </w:r>
          </w:p>
        </w:tc>
      </w:tr>
      <w:tr w:rsidR="003C0A3F" w:rsidTr="00D25197">
        <w:trPr>
          <w:trHeight w:val="259"/>
          <w:jc w:val="center"/>
        </w:trPr>
        <w:tc>
          <w:tcPr>
            <w:tcW w:w="2571" w:type="dxa"/>
            <w:tcBorders>
              <w:top w:val="single" w:sz="4" w:space="0" w:color="auto"/>
            </w:tcBorders>
          </w:tcPr>
          <w:p w:rsidR="00D25197" w:rsidRPr="00997ECF" w:rsidRDefault="00AF4D6B" w:rsidP="00D25197">
            <w:pPr>
              <w:jc w:val="both"/>
              <w:rPr>
                <w:b/>
              </w:rPr>
            </w:pPr>
            <w:r w:rsidRPr="00997ECF">
              <w:rPr>
                <w:b/>
              </w:rPr>
              <w:t>MPS</w:t>
            </w:r>
          </w:p>
        </w:tc>
        <w:tc>
          <w:tcPr>
            <w:tcW w:w="2571" w:type="dxa"/>
            <w:tcBorders>
              <w:top w:val="single" w:sz="4" w:space="0" w:color="auto"/>
            </w:tcBorders>
          </w:tcPr>
          <w:p w:rsidR="00D25197" w:rsidRDefault="00AF4D6B" w:rsidP="00D25197">
            <w:pPr>
              <w:jc w:val="both"/>
            </w:pPr>
            <w:r>
              <w:t>89.01</w:t>
            </w:r>
          </w:p>
        </w:tc>
        <w:tc>
          <w:tcPr>
            <w:tcW w:w="2571" w:type="dxa"/>
            <w:tcBorders>
              <w:top w:val="single" w:sz="4" w:space="0" w:color="auto"/>
            </w:tcBorders>
          </w:tcPr>
          <w:p w:rsidR="00D25197" w:rsidRDefault="00AF4D6B" w:rsidP="00D25197">
            <w:pPr>
              <w:jc w:val="both"/>
            </w:pPr>
            <w:r>
              <w:t>89.26</w:t>
            </w:r>
          </w:p>
        </w:tc>
      </w:tr>
      <w:tr w:rsidR="003C0A3F" w:rsidTr="00D25197">
        <w:trPr>
          <w:trHeight w:val="259"/>
          <w:jc w:val="center"/>
        </w:trPr>
        <w:tc>
          <w:tcPr>
            <w:tcW w:w="2571" w:type="dxa"/>
            <w:tcBorders>
              <w:bottom w:val="single" w:sz="4" w:space="0" w:color="auto"/>
            </w:tcBorders>
          </w:tcPr>
          <w:p w:rsidR="00D25197" w:rsidRPr="00997ECF" w:rsidRDefault="00AF4D6B" w:rsidP="00D25197">
            <w:pPr>
              <w:jc w:val="both"/>
              <w:rPr>
                <w:b/>
              </w:rPr>
            </w:pPr>
            <w:r w:rsidRPr="00997ECF">
              <w:rPr>
                <w:b/>
              </w:rPr>
              <w:t>EPS</w:t>
            </w:r>
          </w:p>
        </w:tc>
        <w:tc>
          <w:tcPr>
            <w:tcW w:w="2571" w:type="dxa"/>
            <w:tcBorders>
              <w:bottom w:val="single" w:sz="4" w:space="0" w:color="auto"/>
            </w:tcBorders>
          </w:tcPr>
          <w:p w:rsidR="00D25197" w:rsidRDefault="00AF4D6B" w:rsidP="00D25197">
            <w:pPr>
              <w:tabs>
                <w:tab w:val="right" w:pos="2355"/>
              </w:tabs>
              <w:jc w:val="both"/>
            </w:pPr>
            <w:r>
              <w:t>2.8</w:t>
            </w:r>
            <w:r w:rsidR="00CF071E">
              <w:t>0</w:t>
            </w:r>
          </w:p>
        </w:tc>
        <w:tc>
          <w:tcPr>
            <w:tcW w:w="2571" w:type="dxa"/>
            <w:tcBorders>
              <w:bottom w:val="single" w:sz="4" w:space="0" w:color="auto"/>
            </w:tcBorders>
          </w:tcPr>
          <w:p w:rsidR="00D25197" w:rsidRDefault="00AF4D6B" w:rsidP="00D25197">
            <w:pPr>
              <w:jc w:val="both"/>
            </w:pPr>
            <w:r>
              <w:t>3.90</w:t>
            </w:r>
          </w:p>
        </w:tc>
      </w:tr>
      <w:tr w:rsidR="003C0A3F" w:rsidTr="00D25197">
        <w:trPr>
          <w:trHeight w:val="259"/>
          <w:jc w:val="center"/>
        </w:trPr>
        <w:tc>
          <w:tcPr>
            <w:tcW w:w="2571" w:type="dxa"/>
            <w:tcBorders>
              <w:top w:val="single" w:sz="4" w:space="0" w:color="auto"/>
            </w:tcBorders>
          </w:tcPr>
          <w:p w:rsidR="00D25197" w:rsidRPr="00997ECF" w:rsidRDefault="00AF4D6B" w:rsidP="00CF071E">
            <w:pPr>
              <w:spacing w:line="480" w:lineRule="auto"/>
              <w:jc w:val="both"/>
              <w:rPr>
                <w:b/>
              </w:rPr>
            </w:pPr>
            <w:r w:rsidRPr="00997ECF">
              <w:rPr>
                <w:b/>
              </w:rPr>
              <w:t>P/E Ratio</w:t>
            </w:r>
          </w:p>
        </w:tc>
        <w:tc>
          <w:tcPr>
            <w:tcW w:w="2571" w:type="dxa"/>
            <w:tcBorders>
              <w:top w:val="single" w:sz="4" w:space="0" w:color="auto"/>
            </w:tcBorders>
          </w:tcPr>
          <w:p w:rsidR="00D25197" w:rsidRDefault="00AF4D6B" w:rsidP="00CF071E">
            <w:pPr>
              <w:spacing w:line="480" w:lineRule="auto"/>
              <w:jc w:val="both"/>
            </w:pPr>
            <w:r>
              <w:t>31.79</w:t>
            </w:r>
          </w:p>
        </w:tc>
        <w:tc>
          <w:tcPr>
            <w:tcW w:w="2571" w:type="dxa"/>
            <w:tcBorders>
              <w:top w:val="single" w:sz="4" w:space="0" w:color="auto"/>
            </w:tcBorders>
          </w:tcPr>
          <w:p w:rsidR="00D25197" w:rsidRDefault="00AF4D6B" w:rsidP="00CF071E">
            <w:pPr>
              <w:keepNext/>
              <w:spacing w:line="480" w:lineRule="auto"/>
              <w:jc w:val="both"/>
            </w:pPr>
            <w:r>
              <w:t>22.89</w:t>
            </w:r>
          </w:p>
        </w:tc>
      </w:tr>
    </w:tbl>
    <w:p w:rsidR="00D25197" w:rsidRPr="00CF071E" w:rsidRDefault="00AF4D6B" w:rsidP="00CF071E">
      <w:pPr>
        <w:pStyle w:val="af"/>
        <w:spacing w:line="480" w:lineRule="auto"/>
        <w:rPr>
          <w:b w:val="0"/>
          <w:i/>
          <w:color w:val="auto"/>
          <w:sz w:val="24"/>
          <w:szCs w:val="24"/>
        </w:rPr>
      </w:pPr>
      <w:r w:rsidRPr="00CF071E">
        <w:rPr>
          <w:b w:val="0"/>
          <w:color w:val="auto"/>
          <w:sz w:val="24"/>
          <w:szCs w:val="24"/>
        </w:rPr>
        <w:t xml:space="preserve">Table </w:t>
      </w:r>
      <w:r w:rsidR="00CF071E">
        <w:rPr>
          <w:b w:val="0"/>
          <w:color w:val="auto"/>
          <w:sz w:val="24"/>
          <w:szCs w:val="24"/>
        </w:rPr>
        <w:t>18</w:t>
      </w:r>
      <w:r w:rsidRPr="00CF071E">
        <w:rPr>
          <w:b w:val="0"/>
          <w:color w:val="auto"/>
          <w:sz w:val="24"/>
          <w:szCs w:val="24"/>
        </w:rPr>
        <w:t xml:space="preserve"> </w:t>
      </w:r>
      <w:r w:rsidRPr="00CF071E">
        <w:rPr>
          <w:b w:val="0"/>
          <w:i/>
          <w:color w:val="auto"/>
          <w:sz w:val="24"/>
          <w:szCs w:val="24"/>
        </w:rPr>
        <w:t>EPC Company Price/Earnings Ratio</w:t>
      </w:r>
    </w:p>
    <w:p w:rsidR="00D25197" w:rsidRPr="00D25197" w:rsidRDefault="00AF4D6B" w:rsidP="00C85F14">
      <w:pPr>
        <w:jc w:val="center"/>
        <w:rPr>
          <w:b/>
        </w:rPr>
      </w:pPr>
      <w:r w:rsidRPr="00D25197">
        <w:rPr>
          <w:b/>
        </w:rPr>
        <w:t>P&amp;G Company Price/Earnings Ratio</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1"/>
        <w:gridCol w:w="2571"/>
        <w:gridCol w:w="2571"/>
      </w:tblGrid>
      <w:tr w:rsidR="003C0A3F" w:rsidTr="00D25197">
        <w:trPr>
          <w:trHeight w:val="259"/>
          <w:jc w:val="center"/>
        </w:trPr>
        <w:tc>
          <w:tcPr>
            <w:tcW w:w="2571" w:type="dxa"/>
            <w:tcBorders>
              <w:top w:val="single" w:sz="4" w:space="0" w:color="auto"/>
              <w:bottom w:val="single" w:sz="4" w:space="0" w:color="auto"/>
            </w:tcBorders>
          </w:tcPr>
          <w:p w:rsidR="00D25197" w:rsidRPr="00D33649" w:rsidRDefault="00D25197" w:rsidP="00D25197">
            <w:pPr>
              <w:jc w:val="both"/>
              <w:rPr>
                <w:b/>
              </w:rPr>
            </w:pPr>
          </w:p>
        </w:tc>
        <w:tc>
          <w:tcPr>
            <w:tcW w:w="2571" w:type="dxa"/>
            <w:tcBorders>
              <w:top w:val="single" w:sz="4" w:space="0" w:color="auto"/>
              <w:bottom w:val="single" w:sz="4" w:space="0" w:color="auto"/>
            </w:tcBorders>
          </w:tcPr>
          <w:p w:rsidR="00D25197" w:rsidRPr="00D33649" w:rsidRDefault="00AF4D6B" w:rsidP="00D25197">
            <w:pPr>
              <w:jc w:val="both"/>
              <w:rPr>
                <w:b/>
              </w:rPr>
            </w:pPr>
            <w:r w:rsidRPr="00D33649">
              <w:rPr>
                <w:b/>
              </w:rPr>
              <w:t>2015</w:t>
            </w:r>
          </w:p>
        </w:tc>
        <w:tc>
          <w:tcPr>
            <w:tcW w:w="2571" w:type="dxa"/>
            <w:tcBorders>
              <w:top w:val="single" w:sz="4" w:space="0" w:color="auto"/>
              <w:bottom w:val="single" w:sz="4" w:space="0" w:color="auto"/>
            </w:tcBorders>
          </w:tcPr>
          <w:p w:rsidR="00D25197" w:rsidRPr="00D33649" w:rsidRDefault="00AF4D6B" w:rsidP="00D25197">
            <w:pPr>
              <w:jc w:val="both"/>
              <w:rPr>
                <w:b/>
              </w:rPr>
            </w:pPr>
            <w:r w:rsidRPr="00D33649">
              <w:rPr>
                <w:b/>
              </w:rPr>
              <w:t>2016</w:t>
            </w:r>
          </w:p>
        </w:tc>
      </w:tr>
      <w:tr w:rsidR="003C0A3F" w:rsidTr="00D25197">
        <w:trPr>
          <w:trHeight w:val="259"/>
          <w:jc w:val="center"/>
        </w:trPr>
        <w:tc>
          <w:tcPr>
            <w:tcW w:w="2571" w:type="dxa"/>
            <w:tcBorders>
              <w:top w:val="single" w:sz="4" w:space="0" w:color="auto"/>
            </w:tcBorders>
          </w:tcPr>
          <w:p w:rsidR="00D25197" w:rsidRPr="00D33649" w:rsidRDefault="00AF4D6B" w:rsidP="00D25197">
            <w:pPr>
              <w:jc w:val="both"/>
              <w:rPr>
                <w:b/>
              </w:rPr>
            </w:pPr>
            <w:r w:rsidRPr="00D33649">
              <w:rPr>
                <w:b/>
              </w:rPr>
              <w:t>MPS</w:t>
            </w:r>
          </w:p>
        </w:tc>
        <w:tc>
          <w:tcPr>
            <w:tcW w:w="2571" w:type="dxa"/>
            <w:tcBorders>
              <w:top w:val="single" w:sz="4" w:space="0" w:color="auto"/>
            </w:tcBorders>
          </w:tcPr>
          <w:p w:rsidR="00D25197" w:rsidRDefault="00AF4D6B" w:rsidP="00D25197">
            <w:pPr>
              <w:jc w:val="both"/>
            </w:pPr>
            <w:r>
              <w:t>39.2</w:t>
            </w:r>
            <w:r w:rsidR="00CF071E">
              <w:t>0</w:t>
            </w:r>
          </w:p>
        </w:tc>
        <w:tc>
          <w:tcPr>
            <w:tcW w:w="2571" w:type="dxa"/>
            <w:tcBorders>
              <w:top w:val="single" w:sz="4" w:space="0" w:color="auto"/>
            </w:tcBorders>
          </w:tcPr>
          <w:p w:rsidR="00D25197" w:rsidRDefault="00AF4D6B" w:rsidP="00D25197">
            <w:pPr>
              <w:jc w:val="both"/>
            </w:pPr>
            <w:r>
              <w:t>41.2</w:t>
            </w:r>
            <w:r w:rsidR="00CF071E">
              <w:t>0</w:t>
            </w:r>
          </w:p>
        </w:tc>
      </w:tr>
      <w:tr w:rsidR="003C0A3F" w:rsidTr="00D25197">
        <w:trPr>
          <w:trHeight w:val="259"/>
          <w:jc w:val="center"/>
        </w:trPr>
        <w:tc>
          <w:tcPr>
            <w:tcW w:w="2571" w:type="dxa"/>
            <w:tcBorders>
              <w:bottom w:val="single" w:sz="4" w:space="0" w:color="auto"/>
            </w:tcBorders>
          </w:tcPr>
          <w:p w:rsidR="00D25197" w:rsidRPr="00D33649" w:rsidRDefault="00AF4D6B" w:rsidP="00D25197">
            <w:pPr>
              <w:jc w:val="both"/>
              <w:rPr>
                <w:b/>
              </w:rPr>
            </w:pPr>
            <w:r w:rsidRPr="00D33649">
              <w:rPr>
                <w:b/>
              </w:rPr>
              <w:t>EPS</w:t>
            </w:r>
          </w:p>
        </w:tc>
        <w:tc>
          <w:tcPr>
            <w:tcW w:w="2571" w:type="dxa"/>
            <w:tcBorders>
              <w:bottom w:val="single" w:sz="4" w:space="0" w:color="auto"/>
            </w:tcBorders>
          </w:tcPr>
          <w:p w:rsidR="00D25197" w:rsidRDefault="00AF4D6B" w:rsidP="00D25197">
            <w:pPr>
              <w:jc w:val="both"/>
            </w:pPr>
            <w:r>
              <w:t>2.44</w:t>
            </w:r>
          </w:p>
        </w:tc>
        <w:tc>
          <w:tcPr>
            <w:tcW w:w="2571" w:type="dxa"/>
            <w:tcBorders>
              <w:bottom w:val="single" w:sz="4" w:space="0" w:color="auto"/>
            </w:tcBorders>
          </w:tcPr>
          <w:p w:rsidR="00D25197" w:rsidRDefault="00AF4D6B" w:rsidP="00D25197">
            <w:pPr>
              <w:jc w:val="both"/>
            </w:pPr>
            <w:r>
              <w:t>3.69</w:t>
            </w:r>
          </w:p>
        </w:tc>
      </w:tr>
      <w:tr w:rsidR="003C0A3F" w:rsidTr="00D25197">
        <w:trPr>
          <w:trHeight w:val="259"/>
          <w:jc w:val="center"/>
        </w:trPr>
        <w:tc>
          <w:tcPr>
            <w:tcW w:w="2571" w:type="dxa"/>
            <w:tcBorders>
              <w:top w:val="single" w:sz="4" w:space="0" w:color="auto"/>
            </w:tcBorders>
          </w:tcPr>
          <w:p w:rsidR="00D25197" w:rsidRPr="00D33649" w:rsidRDefault="00AF4D6B" w:rsidP="00CF071E">
            <w:pPr>
              <w:spacing w:line="480" w:lineRule="auto"/>
              <w:jc w:val="both"/>
              <w:rPr>
                <w:b/>
              </w:rPr>
            </w:pPr>
            <w:r w:rsidRPr="00D33649">
              <w:rPr>
                <w:b/>
              </w:rPr>
              <w:t>P/E Ratio</w:t>
            </w:r>
          </w:p>
        </w:tc>
        <w:tc>
          <w:tcPr>
            <w:tcW w:w="2571" w:type="dxa"/>
            <w:tcBorders>
              <w:top w:val="single" w:sz="4" w:space="0" w:color="auto"/>
            </w:tcBorders>
          </w:tcPr>
          <w:p w:rsidR="00D25197" w:rsidRDefault="00AF4D6B" w:rsidP="00CF071E">
            <w:pPr>
              <w:spacing w:line="480" w:lineRule="auto"/>
              <w:jc w:val="both"/>
            </w:pPr>
            <w:r>
              <w:t>16.06</w:t>
            </w:r>
          </w:p>
        </w:tc>
        <w:tc>
          <w:tcPr>
            <w:tcW w:w="2571" w:type="dxa"/>
            <w:tcBorders>
              <w:top w:val="single" w:sz="4" w:space="0" w:color="auto"/>
            </w:tcBorders>
          </w:tcPr>
          <w:p w:rsidR="00D25197" w:rsidRDefault="00AF4D6B" w:rsidP="00CF071E">
            <w:pPr>
              <w:keepNext/>
              <w:spacing w:line="480" w:lineRule="auto"/>
              <w:jc w:val="both"/>
            </w:pPr>
            <w:r>
              <w:t>11.17</w:t>
            </w:r>
          </w:p>
        </w:tc>
      </w:tr>
    </w:tbl>
    <w:p w:rsidR="00D0071E" w:rsidRPr="00D0071E" w:rsidRDefault="00AF4D6B" w:rsidP="00D0071E">
      <w:pPr>
        <w:pStyle w:val="af"/>
        <w:spacing w:line="480" w:lineRule="auto"/>
        <w:rPr>
          <w:b w:val="0"/>
          <w:i/>
          <w:color w:val="auto"/>
          <w:sz w:val="24"/>
          <w:szCs w:val="24"/>
        </w:rPr>
      </w:pPr>
      <w:r w:rsidRPr="00CF071E">
        <w:rPr>
          <w:b w:val="0"/>
          <w:color w:val="auto"/>
          <w:sz w:val="24"/>
          <w:szCs w:val="24"/>
        </w:rPr>
        <w:t xml:space="preserve">Table </w:t>
      </w:r>
      <w:r w:rsidR="00CF071E">
        <w:rPr>
          <w:b w:val="0"/>
          <w:color w:val="auto"/>
          <w:sz w:val="24"/>
          <w:szCs w:val="24"/>
        </w:rPr>
        <w:t>19</w:t>
      </w:r>
      <w:r w:rsidRPr="00CF071E">
        <w:rPr>
          <w:b w:val="0"/>
          <w:color w:val="auto"/>
          <w:sz w:val="24"/>
          <w:szCs w:val="24"/>
        </w:rPr>
        <w:t xml:space="preserve"> </w:t>
      </w:r>
      <w:r w:rsidRPr="00CF071E">
        <w:rPr>
          <w:b w:val="0"/>
          <w:i/>
          <w:color w:val="auto"/>
          <w:sz w:val="24"/>
          <w:szCs w:val="24"/>
        </w:rPr>
        <w:t>P&amp;G Company Price/Earnings Ratio</w:t>
      </w:r>
    </w:p>
    <w:p w:rsidR="00D0071E" w:rsidRDefault="00D0071E" w:rsidP="00D25197">
      <w:pPr>
        <w:ind w:firstLine="720"/>
        <w:jc w:val="center"/>
        <w:rPr>
          <w:b/>
        </w:rPr>
      </w:pPr>
    </w:p>
    <w:p w:rsidR="00D0071E" w:rsidRDefault="00D0071E" w:rsidP="00D25197">
      <w:pPr>
        <w:ind w:firstLine="720"/>
        <w:jc w:val="center"/>
        <w:rPr>
          <w:b/>
        </w:rPr>
      </w:pPr>
    </w:p>
    <w:p w:rsidR="00D0071E" w:rsidRDefault="00D0071E" w:rsidP="00D25197">
      <w:pPr>
        <w:ind w:firstLine="720"/>
        <w:jc w:val="center"/>
        <w:rPr>
          <w:b/>
        </w:rPr>
      </w:pPr>
    </w:p>
    <w:p w:rsidR="00D0071E" w:rsidRDefault="00D0071E" w:rsidP="00D25197">
      <w:pPr>
        <w:ind w:firstLine="720"/>
        <w:jc w:val="center"/>
        <w:rPr>
          <w:b/>
        </w:rPr>
      </w:pPr>
    </w:p>
    <w:p w:rsidR="00D25197" w:rsidRPr="00D25197" w:rsidRDefault="00AF4D6B" w:rsidP="00D25197">
      <w:pPr>
        <w:ind w:firstLine="720"/>
        <w:jc w:val="center"/>
        <w:rPr>
          <w:b/>
        </w:rPr>
      </w:pPr>
      <w:r w:rsidRPr="00D25197">
        <w:rPr>
          <w:b/>
        </w:rPr>
        <w:lastRenderedPageBreak/>
        <w:t>Conclusion</w:t>
      </w:r>
    </w:p>
    <w:p w:rsidR="00D25197" w:rsidRPr="00D25197" w:rsidRDefault="00AF4D6B" w:rsidP="00D25197">
      <w:pPr>
        <w:rPr>
          <w:b/>
        </w:rPr>
      </w:pPr>
      <w:r w:rsidRPr="00D25197">
        <w:rPr>
          <w:b/>
        </w:rPr>
        <w:t>E</w:t>
      </w:r>
      <w:r w:rsidR="00D0071E">
        <w:rPr>
          <w:b/>
        </w:rPr>
        <w:t>PC</w:t>
      </w:r>
      <w:r w:rsidRPr="00D25197">
        <w:rPr>
          <w:b/>
        </w:rPr>
        <w:t xml:space="preserve"> Strengths</w:t>
      </w:r>
    </w:p>
    <w:p w:rsidR="00D25197" w:rsidRDefault="00AF4D6B" w:rsidP="00D25197">
      <w:pPr>
        <w:ind w:firstLine="720"/>
        <w:jc w:val="both"/>
      </w:pPr>
      <w:r>
        <w:t>The P/E ratio of the EPC demonstrates one of its strengths. High P/E ratio has been associated with the stronger portfolio with more than 65 brands. Also, it embraces innovation that drives their brand leadership on the g</w:t>
      </w:r>
      <w:r w:rsidR="00D0071E">
        <w:t xml:space="preserve">lobal market. </w:t>
      </w:r>
    </w:p>
    <w:p w:rsidR="00D25197" w:rsidRPr="00D25197" w:rsidRDefault="00D0071E" w:rsidP="00D25197">
      <w:pPr>
        <w:rPr>
          <w:b/>
        </w:rPr>
      </w:pPr>
      <w:r>
        <w:rPr>
          <w:b/>
        </w:rPr>
        <w:t>EPC</w:t>
      </w:r>
      <w:r w:rsidR="00AF4D6B" w:rsidRPr="00D25197">
        <w:rPr>
          <w:b/>
        </w:rPr>
        <w:t xml:space="preserve"> Weakness</w:t>
      </w:r>
      <w:r>
        <w:rPr>
          <w:b/>
        </w:rPr>
        <w:t>es</w:t>
      </w:r>
    </w:p>
    <w:p w:rsidR="00D25197" w:rsidRDefault="00AF4D6B" w:rsidP="00D25197">
      <w:pPr>
        <w:ind w:firstLine="720"/>
        <w:jc w:val="both"/>
      </w:pPr>
      <w:r>
        <w:t>The results of profitability ratios show the major weaknesses of the EPC Company. For instance, in the net profit margin, EPC Company is not able to generate revenue that can cover t</w:t>
      </w:r>
      <w:r w:rsidR="00E32C46">
        <w:t>he operating costs. Similarly, Acid-T</w:t>
      </w:r>
      <w:r>
        <w:t xml:space="preserve">est and current ratio indicated that EPC Company could not effectively use total assets or quick assets to settle current liabilities. </w:t>
      </w:r>
    </w:p>
    <w:p w:rsidR="00D25197" w:rsidRPr="00D25197" w:rsidRDefault="00E32C46" w:rsidP="00D25197">
      <w:pPr>
        <w:rPr>
          <w:b/>
        </w:rPr>
      </w:pPr>
      <w:r>
        <w:rPr>
          <w:b/>
        </w:rPr>
        <w:t>EPC Opportunities</w:t>
      </w:r>
      <w:r w:rsidR="00AF4D6B" w:rsidRPr="00D25197">
        <w:rPr>
          <w:b/>
        </w:rPr>
        <w:t xml:space="preserve"> to Improve</w:t>
      </w:r>
    </w:p>
    <w:p w:rsidR="00D25197" w:rsidRDefault="00D274B9" w:rsidP="00D25197">
      <w:pPr>
        <w:ind w:firstLine="720"/>
        <w:jc w:val="both"/>
      </w:pPr>
      <w:r>
        <w:t>A</w:t>
      </w:r>
      <w:r w:rsidR="00AF4D6B">
        <w:t xml:space="preserve">lthough most of the EPC financial results are not favorable, there is an opportunity of performing better in future. For instance, before closing the year 2016 financial statements, </w:t>
      </w:r>
      <w:r w:rsidR="00287D84">
        <w:t>the Company</w:t>
      </w:r>
      <w:r w:rsidR="00AF4D6B">
        <w:t xml:space="preserve"> had completely acquired Bulldog Skincare Holdings. The a</w:t>
      </w:r>
      <w:r w:rsidR="00E90BC8">
        <w:t xml:space="preserve">cquired company dealt with </w:t>
      </w:r>
      <w:r w:rsidR="00AF4D6B">
        <w:t>grooming and skincare products</w:t>
      </w:r>
      <w:r w:rsidR="00E90BC8">
        <w:t xml:space="preserve"> for men</w:t>
      </w:r>
      <w:r w:rsidR="00AF4D6B">
        <w:t>. Also, the acquired firm had a net worth of $34 million at the time of acquisition. The acquisition is expected to expand Edgewell’s portfolio into global markets where it can leverage its international geographic operations. The post-acquisition period of Bu</w:t>
      </w:r>
      <w:r w:rsidR="00364695">
        <w:t>lldog appeared in the Edgewell</w:t>
      </w:r>
      <w:r w:rsidR="00AF4D6B">
        <w:t xml:space="preserve"> Company</w:t>
      </w:r>
      <w:r w:rsidR="00364695">
        <w:t>’s</w:t>
      </w:r>
      <w:r w:rsidR="00AF4D6B">
        <w:t xml:space="preserve"> results </w:t>
      </w:r>
      <w:r w:rsidR="00457108">
        <w:t>of</w:t>
      </w:r>
      <w:r w:rsidR="00AF4D6B">
        <w:t xml:space="preserve"> the quarter ended April 31, 2017. All the assets acquired</w:t>
      </w:r>
      <w:r w:rsidR="00364695">
        <w:t xml:space="preserve"> were included in the Edgewell</w:t>
      </w:r>
      <w:r w:rsidR="00AF4D6B">
        <w:t xml:space="preserve"> Company Sun and Skin Care segment.</w:t>
      </w:r>
    </w:p>
    <w:p w:rsidR="00D25197" w:rsidRDefault="00D25197" w:rsidP="00D25197">
      <w:pPr>
        <w:ind w:firstLine="720"/>
        <w:jc w:val="both"/>
      </w:pPr>
    </w:p>
    <w:p w:rsidR="0076090F" w:rsidRDefault="0076090F" w:rsidP="00D25197">
      <w:pPr>
        <w:ind w:firstLine="720"/>
        <w:jc w:val="both"/>
      </w:pPr>
      <w:bookmarkStart w:id="0" w:name="_GoBack"/>
      <w:bookmarkEnd w:id="0"/>
    </w:p>
    <w:p w:rsidR="00D25197" w:rsidRDefault="00AF4D6B" w:rsidP="00D25197">
      <w:pPr>
        <w:jc w:val="center"/>
      </w:pPr>
      <w:r>
        <w:lastRenderedPageBreak/>
        <w:t>References</w:t>
      </w:r>
    </w:p>
    <w:p w:rsidR="00D25197" w:rsidRPr="00620F8F" w:rsidRDefault="00AF4D6B" w:rsidP="00D25197">
      <w:pPr>
        <w:ind w:left="720" w:hangingChars="300" w:hanging="720"/>
        <w:rPr>
          <w:color w:val="222222"/>
          <w:shd w:val="clear" w:color="auto" w:fill="FFFFFF"/>
        </w:rPr>
      </w:pPr>
      <w:r w:rsidRPr="00740AC8">
        <w:rPr>
          <w:color w:val="222222"/>
          <w:shd w:val="clear" w:color="auto" w:fill="FFFFFF"/>
          <w:lang w:val="de-DE"/>
        </w:rPr>
        <w:t xml:space="preserve">Delen, D., Kuzey, C., &amp; Uyar, A. (2013). </w:t>
      </w:r>
      <w:r w:rsidRPr="00620F8F">
        <w:rPr>
          <w:color w:val="222222"/>
          <w:shd w:val="clear" w:color="auto" w:fill="FFFFFF"/>
        </w:rPr>
        <w:t>Measuring firm performance using financial ratios: A decision tree approach. </w:t>
      </w:r>
      <w:r w:rsidRPr="00620F8F">
        <w:rPr>
          <w:i/>
          <w:iCs/>
          <w:color w:val="222222"/>
          <w:shd w:val="clear" w:color="auto" w:fill="FFFFFF"/>
        </w:rPr>
        <w:t>Expert Systems with Applications</w:t>
      </w:r>
      <w:r w:rsidRPr="00620F8F">
        <w:rPr>
          <w:color w:val="222222"/>
          <w:shd w:val="clear" w:color="auto" w:fill="FFFFFF"/>
        </w:rPr>
        <w:t>, </w:t>
      </w:r>
      <w:r w:rsidRPr="00620F8F">
        <w:rPr>
          <w:i/>
          <w:iCs/>
          <w:color w:val="222222"/>
          <w:shd w:val="clear" w:color="auto" w:fill="FFFFFF"/>
        </w:rPr>
        <w:t>40</w:t>
      </w:r>
      <w:r w:rsidRPr="00620F8F">
        <w:rPr>
          <w:color w:val="222222"/>
          <w:shd w:val="clear" w:color="auto" w:fill="FFFFFF"/>
        </w:rPr>
        <w:t>(10), 3970-3983.</w:t>
      </w:r>
    </w:p>
    <w:p w:rsidR="00D25197" w:rsidRPr="00FE595B" w:rsidRDefault="00AF4D6B" w:rsidP="00D25197">
      <w:pPr>
        <w:ind w:left="720" w:hangingChars="300" w:hanging="720"/>
      </w:pPr>
      <w:r w:rsidRPr="00FE595B">
        <w:rPr>
          <w:color w:val="222222"/>
          <w:shd w:val="clear" w:color="auto" w:fill="FFFFFF"/>
        </w:rPr>
        <w:t xml:space="preserve">Ehiedu, V. C. (2014). The impact of liquidity on the profitability of some selected companies: The financial statement analysis (FSA) approach. </w:t>
      </w:r>
      <w:r w:rsidRPr="00FE595B">
        <w:rPr>
          <w:i/>
          <w:iCs/>
          <w:color w:val="222222"/>
          <w:shd w:val="clear" w:color="auto" w:fill="FFFFFF"/>
        </w:rPr>
        <w:t>Research Journal of Finance and Accounting</w:t>
      </w:r>
      <w:r w:rsidRPr="00FE595B">
        <w:rPr>
          <w:color w:val="222222"/>
          <w:shd w:val="clear" w:color="auto" w:fill="FFFFFF"/>
        </w:rPr>
        <w:t>, </w:t>
      </w:r>
      <w:r w:rsidRPr="00FE595B">
        <w:rPr>
          <w:i/>
          <w:iCs/>
          <w:color w:val="222222"/>
          <w:shd w:val="clear" w:color="auto" w:fill="FFFFFF"/>
        </w:rPr>
        <w:t>5</w:t>
      </w:r>
      <w:r w:rsidRPr="00FE595B">
        <w:rPr>
          <w:color w:val="222222"/>
          <w:shd w:val="clear" w:color="auto" w:fill="FFFFFF"/>
        </w:rPr>
        <w:t>(5), 81-90.</w:t>
      </w:r>
    </w:p>
    <w:p w:rsidR="00D25197" w:rsidRPr="00FE595B" w:rsidRDefault="00AF4D6B" w:rsidP="00D25197">
      <w:pPr>
        <w:ind w:left="720" w:hangingChars="300" w:hanging="720"/>
        <w:rPr>
          <w:color w:val="222222"/>
          <w:shd w:val="clear" w:color="auto" w:fill="FFFFFF"/>
        </w:rPr>
      </w:pPr>
      <w:r w:rsidRPr="00FE595B">
        <w:rPr>
          <w:color w:val="222222"/>
          <w:shd w:val="clear" w:color="auto" w:fill="FFFFFF"/>
        </w:rPr>
        <w:t>Heikal, M., Khaddafi, M., &amp; Ummah, A. (2014). Influence analysis of return on assets (ROA), return on equity (ROE), net profit margin (NPM), debt to equity ratio (DER), and current ratio (CR), against corporate profit growth in automotive in Indonesia stock exchange. </w:t>
      </w:r>
      <w:r w:rsidRPr="00FE595B">
        <w:rPr>
          <w:i/>
          <w:iCs/>
          <w:color w:val="222222"/>
          <w:shd w:val="clear" w:color="auto" w:fill="FFFFFF"/>
        </w:rPr>
        <w:t>International Journal of Academic Research in Business and Social Sciences</w:t>
      </w:r>
      <w:r w:rsidRPr="00FE595B">
        <w:rPr>
          <w:color w:val="222222"/>
          <w:shd w:val="clear" w:color="auto" w:fill="FFFFFF"/>
        </w:rPr>
        <w:t>, </w:t>
      </w:r>
      <w:r w:rsidRPr="00FE595B">
        <w:rPr>
          <w:i/>
          <w:iCs/>
          <w:color w:val="222222"/>
          <w:shd w:val="clear" w:color="auto" w:fill="FFFFFF"/>
        </w:rPr>
        <w:t>4</w:t>
      </w:r>
      <w:r w:rsidRPr="00FE595B">
        <w:rPr>
          <w:color w:val="222222"/>
          <w:shd w:val="clear" w:color="auto" w:fill="FFFFFF"/>
        </w:rPr>
        <w:t>(12), 101.</w:t>
      </w:r>
    </w:p>
    <w:p w:rsidR="00D25197" w:rsidRPr="00FE595B" w:rsidRDefault="00AF4D6B" w:rsidP="00D25197">
      <w:pPr>
        <w:ind w:left="720" w:hangingChars="300" w:hanging="720"/>
        <w:rPr>
          <w:color w:val="222222"/>
          <w:shd w:val="clear" w:color="auto" w:fill="FFFFFF"/>
        </w:rPr>
      </w:pPr>
      <w:r w:rsidRPr="00FE595B">
        <w:rPr>
          <w:color w:val="222222"/>
          <w:shd w:val="clear" w:color="auto" w:fill="FFFFFF"/>
        </w:rPr>
        <w:t>Idawati, W., &amp; Wahyudi, A. (2015). Effect of Earning Per Shares (EPS) and Return On Assets (ROA) against Share Price on Coal Mining Company Listed in Indonesia Stock Exchange. </w:t>
      </w:r>
      <w:r w:rsidRPr="00FE595B">
        <w:rPr>
          <w:i/>
          <w:iCs/>
          <w:color w:val="222222"/>
          <w:shd w:val="clear" w:color="auto" w:fill="FFFFFF"/>
        </w:rPr>
        <w:t>Journal of Resources Development and Management ISSN</w:t>
      </w:r>
      <w:r w:rsidRPr="00FE595B">
        <w:rPr>
          <w:color w:val="222222"/>
          <w:shd w:val="clear" w:color="auto" w:fill="FFFFFF"/>
        </w:rPr>
        <w:t>, 2422-8397.</w:t>
      </w:r>
    </w:p>
    <w:p w:rsidR="00D25197" w:rsidRPr="00620F8F" w:rsidRDefault="00AF4D6B" w:rsidP="00D25197">
      <w:pPr>
        <w:ind w:left="720" w:hangingChars="300" w:hanging="720"/>
        <w:rPr>
          <w:color w:val="222222"/>
          <w:shd w:val="clear" w:color="auto" w:fill="FFFFFF"/>
        </w:rPr>
      </w:pPr>
      <w:r w:rsidRPr="001D645F">
        <w:rPr>
          <w:color w:val="222222"/>
          <w:shd w:val="clear" w:color="auto" w:fill="FFFFFF"/>
          <w:lang w:val="de-DE"/>
        </w:rPr>
        <w:t xml:space="preserve">Kabajeh, M. A. M., Al Nuaimat, S. M. A., &amp; Dahmash, F. N. (2012). </w:t>
      </w:r>
      <w:r w:rsidRPr="00620F8F">
        <w:rPr>
          <w:color w:val="222222"/>
          <w:shd w:val="clear" w:color="auto" w:fill="FFFFFF"/>
        </w:rPr>
        <w:t>The relationship between the ROA, ROE and ROI ratios with Jordanian insurance public companies market share prices. </w:t>
      </w:r>
      <w:r w:rsidRPr="00620F8F">
        <w:rPr>
          <w:i/>
          <w:iCs/>
          <w:color w:val="222222"/>
          <w:shd w:val="clear" w:color="auto" w:fill="FFFFFF"/>
        </w:rPr>
        <w:t>International Journal of Humanities and Social Science</w:t>
      </w:r>
      <w:r w:rsidRPr="00620F8F">
        <w:rPr>
          <w:color w:val="222222"/>
          <w:shd w:val="clear" w:color="auto" w:fill="FFFFFF"/>
        </w:rPr>
        <w:t>, </w:t>
      </w:r>
      <w:r w:rsidRPr="00620F8F">
        <w:rPr>
          <w:i/>
          <w:iCs/>
          <w:color w:val="222222"/>
          <w:shd w:val="clear" w:color="auto" w:fill="FFFFFF"/>
        </w:rPr>
        <w:t>2</w:t>
      </w:r>
      <w:r w:rsidRPr="00620F8F">
        <w:rPr>
          <w:color w:val="222222"/>
          <w:shd w:val="clear" w:color="auto" w:fill="FFFFFF"/>
        </w:rPr>
        <w:t>(11), 115-120.</w:t>
      </w:r>
    </w:p>
    <w:p w:rsidR="00D25197" w:rsidRPr="00620F8F" w:rsidRDefault="00AF4D6B" w:rsidP="00D25197">
      <w:pPr>
        <w:ind w:left="720" w:hangingChars="300" w:hanging="720"/>
      </w:pPr>
      <w:r w:rsidRPr="00620F8F">
        <w:rPr>
          <w:color w:val="222222"/>
          <w:shd w:val="clear" w:color="auto" w:fill="FFFFFF"/>
        </w:rPr>
        <w:t>Kirkham, R. (2012). Liquidity analysis using cash flow ratios and traditional ratios: The telecommunications sector in Australia. </w:t>
      </w:r>
      <w:r w:rsidRPr="00620F8F">
        <w:rPr>
          <w:i/>
          <w:iCs/>
          <w:color w:val="222222"/>
          <w:shd w:val="clear" w:color="auto" w:fill="FFFFFF"/>
        </w:rPr>
        <w:t>The Journal of New Business Ideas &amp; Trends</w:t>
      </w:r>
      <w:r w:rsidRPr="00620F8F">
        <w:rPr>
          <w:color w:val="222222"/>
          <w:shd w:val="clear" w:color="auto" w:fill="FFFFFF"/>
        </w:rPr>
        <w:t>, </w:t>
      </w:r>
      <w:r w:rsidRPr="00620F8F">
        <w:rPr>
          <w:i/>
          <w:iCs/>
          <w:color w:val="222222"/>
          <w:shd w:val="clear" w:color="auto" w:fill="FFFFFF"/>
        </w:rPr>
        <w:t>10</w:t>
      </w:r>
      <w:r w:rsidRPr="00620F8F">
        <w:rPr>
          <w:color w:val="222222"/>
          <w:shd w:val="clear" w:color="auto" w:fill="FFFFFF"/>
        </w:rPr>
        <w:t>(1), 1.</w:t>
      </w:r>
    </w:p>
    <w:p w:rsidR="00D25197" w:rsidRPr="00FE595B" w:rsidRDefault="00AF4D6B" w:rsidP="00D25197">
      <w:pPr>
        <w:ind w:left="720" w:hangingChars="300" w:hanging="720"/>
        <w:rPr>
          <w:color w:val="222222"/>
          <w:shd w:val="clear" w:color="auto" w:fill="FFFFFF"/>
        </w:rPr>
      </w:pPr>
      <w:r w:rsidRPr="00FE595B">
        <w:rPr>
          <w:color w:val="222222"/>
          <w:shd w:val="clear" w:color="auto" w:fill="FFFFFF"/>
        </w:rPr>
        <w:lastRenderedPageBreak/>
        <w:t xml:space="preserve">Laitinen, E. K., Lukason, O., &amp; Suvas, A. (2014). The behaviour of financial ratios in firm failure process: an international comparison. </w:t>
      </w:r>
      <w:r w:rsidRPr="00FE595B">
        <w:rPr>
          <w:i/>
          <w:iCs/>
          <w:color w:val="222222"/>
          <w:shd w:val="clear" w:color="auto" w:fill="FFFFFF"/>
        </w:rPr>
        <w:t>International journal of finance and accounting</w:t>
      </w:r>
      <w:r w:rsidRPr="00FE595B">
        <w:rPr>
          <w:color w:val="222222"/>
          <w:shd w:val="clear" w:color="auto" w:fill="FFFFFF"/>
        </w:rPr>
        <w:t>, </w:t>
      </w:r>
      <w:r w:rsidRPr="00FE595B">
        <w:rPr>
          <w:i/>
          <w:iCs/>
          <w:color w:val="222222"/>
          <w:shd w:val="clear" w:color="auto" w:fill="FFFFFF"/>
        </w:rPr>
        <w:t>3</w:t>
      </w:r>
      <w:r w:rsidRPr="00FE595B">
        <w:rPr>
          <w:color w:val="222222"/>
          <w:shd w:val="clear" w:color="auto" w:fill="FFFFFF"/>
        </w:rPr>
        <w:t>(2), 122-131.</w:t>
      </w:r>
    </w:p>
    <w:p w:rsidR="00D25197" w:rsidRPr="00620F8F" w:rsidRDefault="00AF4D6B" w:rsidP="00D25197">
      <w:pPr>
        <w:ind w:left="720" w:hangingChars="300" w:hanging="720"/>
        <w:rPr>
          <w:color w:val="222222"/>
          <w:shd w:val="clear" w:color="auto" w:fill="FFFFFF"/>
        </w:rPr>
      </w:pPr>
      <w:r w:rsidRPr="00620F8F">
        <w:rPr>
          <w:color w:val="222222"/>
          <w:shd w:val="clear" w:color="auto" w:fill="FFFFFF"/>
        </w:rPr>
        <w:t>Pervan, I., &amp; Kuvek, T. (2013). The relative importance of financial ratios and nonfinancial variables in predicting of insolvency. </w:t>
      </w:r>
      <w:r w:rsidRPr="00620F8F">
        <w:rPr>
          <w:i/>
          <w:iCs/>
          <w:color w:val="222222"/>
          <w:shd w:val="clear" w:color="auto" w:fill="FFFFFF"/>
        </w:rPr>
        <w:t>Croatian Operational research review</w:t>
      </w:r>
      <w:r w:rsidRPr="00620F8F">
        <w:rPr>
          <w:color w:val="222222"/>
          <w:shd w:val="clear" w:color="auto" w:fill="FFFFFF"/>
        </w:rPr>
        <w:t>, </w:t>
      </w:r>
      <w:r w:rsidRPr="00620F8F">
        <w:rPr>
          <w:i/>
          <w:iCs/>
          <w:color w:val="222222"/>
          <w:shd w:val="clear" w:color="auto" w:fill="FFFFFF"/>
        </w:rPr>
        <w:t>4</w:t>
      </w:r>
      <w:r w:rsidRPr="00620F8F">
        <w:rPr>
          <w:color w:val="222222"/>
          <w:shd w:val="clear" w:color="auto" w:fill="FFFFFF"/>
        </w:rPr>
        <w:t>(1), 187-197.</w:t>
      </w:r>
    </w:p>
    <w:p w:rsidR="00D25197" w:rsidRDefault="00D25197" w:rsidP="00D25197">
      <w:pPr>
        <w:jc w:val="both"/>
      </w:pPr>
    </w:p>
    <w:sectPr w:rsidR="00D25197" w:rsidSect="00D25197">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F6B" w:rsidRDefault="000D1F6B">
      <w:pPr>
        <w:spacing w:after="0" w:line="240" w:lineRule="auto"/>
      </w:pPr>
      <w:r>
        <w:separator/>
      </w:r>
    </w:p>
  </w:endnote>
  <w:endnote w:type="continuationSeparator" w:id="0">
    <w:p w:rsidR="000D1F6B" w:rsidRDefault="000D1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F6B" w:rsidRDefault="000D1F6B">
      <w:pPr>
        <w:spacing w:after="0" w:line="240" w:lineRule="auto"/>
      </w:pPr>
      <w:r>
        <w:separator/>
      </w:r>
    </w:p>
  </w:footnote>
  <w:footnote w:type="continuationSeparator" w:id="0">
    <w:p w:rsidR="000D1F6B" w:rsidRDefault="000D1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838495"/>
      <w:docPartObj>
        <w:docPartGallery w:val="Page Numbers (Top of Page)"/>
        <w:docPartUnique/>
      </w:docPartObj>
    </w:sdtPr>
    <w:sdtEndPr>
      <w:rPr>
        <w:noProof/>
      </w:rPr>
    </w:sdtEndPr>
    <w:sdtContent>
      <w:p w:rsidR="00D25197" w:rsidRDefault="00D25197" w:rsidP="00EB3FDC">
        <w:pPr>
          <w:pStyle w:val="a4"/>
        </w:pPr>
        <w:r w:rsidRPr="00004B33">
          <w:t>FINANCIAL ANALYSIS REPORT</w:t>
        </w:r>
        <w:r>
          <w:t xml:space="preserve">                                                                                             </w:t>
        </w:r>
        <w:r>
          <w:fldChar w:fldCharType="begin"/>
        </w:r>
        <w:r>
          <w:instrText xml:space="preserve"> PAGE   \* MERGEFORMAT </w:instrText>
        </w:r>
        <w:r>
          <w:fldChar w:fldCharType="separate"/>
        </w:r>
        <w:r w:rsidR="0076090F">
          <w:rPr>
            <w:noProof/>
          </w:rPr>
          <w:t>16</w:t>
        </w:r>
        <w:r>
          <w:rPr>
            <w:noProof/>
          </w:rPr>
          <w:fldChar w:fldCharType="end"/>
        </w:r>
      </w:p>
    </w:sdtContent>
  </w:sdt>
  <w:p w:rsidR="00D25197" w:rsidRDefault="00D25197">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197" w:rsidRDefault="00D25197">
    <w:pPr>
      <w:pStyle w:val="a4"/>
    </w:pPr>
    <w:r>
      <w:t xml:space="preserve">Running Head: </w:t>
    </w:r>
    <w:r w:rsidRPr="00004B33">
      <w:t>FINANCIAL ANALYSIS REPORT</w:t>
    </w:r>
    <w:r>
      <w:t xml:space="preserve">                                                 </w:t>
    </w:r>
    <w:r>
      <w:tab/>
      <w:t xml:space="preserve">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A3F"/>
    <w:rsid w:val="000422D9"/>
    <w:rsid w:val="00051BAA"/>
    <w:rsid w:val="000D1F6B"/>
    <w:rsid w:val="00112744"/>
    <w:rsid w:val="001234C5"/>
    <w:rsid w:val="00242725"/>
    <w:rsid w:val="00287D84"/>
    <w:rsid w:val="002F6E3A"/>
    <w:rsid w:val="00357FDA"/>
    <w:rsid w:val="00364695"/>
    <w:rsid w:val="003C0A3F"/>
    <w:rsid w:val="00457108"/>
    <w:rsid w:val="004D41FD"/>
    <w:rsid w:val="004E37B8"/>
    <w:rsid w:val="00545CB1"/>
    <w:rsid w:val="00551FF0"/>
    <w:rsid w:val="006C0AFB"/>
    <w:rsid w:val="006E6D04"/>
    <w:rsid w:val="0076090F"/>
    <w:rsid w:val="00775B82"/>
    <w:rsid w:val="00781FE9"/>
    <w:rsid w:val="00977276"/>
    <w:rsid w:val="009E43FA"/>
    <w:rsid w:val="00A268B4"/>
    <w:rsid w:val="00AB7B8E"/>
    <w:rsid w:val="00AF4D6B"/>
    <w:rsid w:val="00B51E1D"/>
    <w:rsid w:val="00B76A62"/>
    <w:rsid w:val="00BA1A0D"/>
    <w:rsid w:val="00BC5710"/>
    <w:rsid w:val="00BC5B78"/>
    <w:rsid w:val="00BC73F6"/>
    <w:rsid w:val="00C85F14"/>
    <w:rsid w:val="00CD6CEB"/>
    <w:rsid w:val="00CF071E"/>
    <w:rsid w:val="00D0071E"/>
    <w:rsid w:val="00D168DA"/>
    <w:rsid w:val="00D25197"/>
    <w:rsid w:val="00D274B9"/>
    <w:rsid w:val="00D4524C"/>
    <w:rsid w:val="00DA03C9"/>
    <w:rsid w:val="00DD654A"/>
    <w:rsid w:val="00E24A2D"/>
    <w:rsid w:val="00E32C46"/>
    <w:rsid w:val="00E85ECD"/>
    <w:rsid w:val="00E90BC8"/>
    <w:rsid w:val="00EB3FDC"/>
    <w:rsid w:val="00F429FB"/>
    <w:rsid w:val="00F621AB"/>
    <w:rsid w:val="00FA281D"/>
    <w:rsid w:val="00FA6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D1F44"/>
  <w15:docId w15:val="{1078C772-F2AA-4E3E-8508-C52B4DF0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7003"/>
    <w:pPr>
      <w:ind w:firstLine="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5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04B33"/>
    <w:pPr>
      <w:tabs>
        <w:tab w:val="center" w:pos="4680"/>
        <w:tab w:val="right" w:pos="9360"/>
      </w:tabs>
      <w:spacing w:after="0" w:line="240" w:lineRule="auto"/>
    </w:pPr>
  </w:style>
  <w:style w:type="character" w:customStyle="1" w:styleId="a5">
    <w:name w:val="Верхний колонтитул Знак"/>
    <w:basedOn w:val="a0"/>
    <w:link w:val="a4"/>
    <w:uiPriority w:val="99"/>
    <w:rsid w:val="00004B33"/>
  </w:style>
  <w:style w:type="paragraph" w:styleId="a6">
    <w:name w:val="footer"/>
    <w:basedOn w:val="a"/>
    <w:link w:val="a7"/>
    <w:uiPriority w:val="99"/>
    <w:unhideWhenUsed/>
    <w:rsid w:val="00004B33"/>
    <w:pPr>
      <w:tabs>
        <w:tab w:val="center" w:pos="4680"/>
        <w:tab w:val="right" w:pos="9360"/>
      </w:tabs>
      <w:spacing w:after="0" w:line="240" w:lineRule="auto"/>
    </w:pPr>
  </w:style>
  <w:style w:type="character" w:customStyle="1" w:styleId="a7">
    <w:name w:val="Нижний колонтитул Знак"/>
    <w:basedOn w:val="a0"/>
    <w:link w:val="a6"/>
    <w:uiPriority w:val="99"/>
    <w:rsid w:val="00004B33"/>
  </w:style>
  <w:style w:type="character" w:styleId="a8">
    <w:name w:val="annotation reference"/>
    <w:basedOn w:val="a0"/>
    <w:rsid w:val="00805BCE"/>
    <w:rPr>
      <w:sz w:val="16"/>
      <w:szCs w:val="16"/>
    </w:rPr>
  </w:style>
  <w:style w:type="paragraph" w:styleId="a9">
    <w:name w:val="annotation text"/>
    <w:basedOn w:val="a"/>
    <w:link w:val="aa"/>
    <w:uiPriority w:val="99"/>
    <w:semiHidden/>
    <w:unhideWhenUsed/>
    <w:pPr>
      <w:spacing w:line="240" w:lineRule="auto"/>
    </w:pPr>
    <w:rPr>
      <w:sz w:val="20"/>
      <w:szCs w:val="20"/>
    </w:rPr>
  </w:style>
  <w:style w:type="character" w:customStyle="1" w:styleId="aa">
    <w:name w:val="Текст примечания Знак"/>
    <w:basedOn w:val="a0"/>
    <w:link w:val="a9"/>
    <w:uiPriority w:val="99"/>
    <w:semiHidden/>
    <w:rPr>
      <w:sz w:val="20"/>
      <w:szCs w:val="20"/>
    </w:rPr>
  </w:style>
  <w:style w:type="paragraph" w:styleId="ab">
    <w:name w:val="Balloon Text"/>
    <w:basedOn w:val="a"/>
    <w:link w:val="ac"/>
    <w:uiPriority w:val="99"/>
    <w:semiHidden/>
    <w:unhideWhenUsed/>
    <w:rsid w:val="00F935F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935F1"/>
    <w:rPr>
      <w:rFonts w:ascii="Tahoma" w:hAnsi="Tahoma" w:cs="Tahoma"/>
      <w:sz w:val="16"/>
      <w:szCs w:val="16"/>
    </w:rPr>
  </w:style>
  <w:style w:type="paragraph" w:styleId="ad">
    <w:name w:val="annotation subject"/>
    <w:basedOn w:val="a9"/>
    <w:next w:val="a9"/>
    <w:link w:val="ae"/>
    <w:uiPriority w:val="99"/>
    <w:semiHidden/>
    <w:unhideWhenUsed/>
    <w:rsid w:val="001D645F"/>
    <w:rPr>
      <w:b/>
      <w:bCs/>
    </w:rPr>
  </w:style>
  <w:style w:type="character" w:customStyle="1" w:styleId="ae">
    <w:name w:val="Тема примечания Знак"/>
    <w:basedOn w:val="aa"/>
    <w:link w:val="ad"/>
    <w:uiPriority w:val="99"/>
    <w:semiHidden/>
    <w:rsid w:val="001D645F"/>
    <w:rPr>
      <w:b/>
      <w:bCs/>
      <w:sz w:val="20"/>
      <w:szCs w:val="20"/>
    </w:rPr>
  </w:style>
  <w:style w:type="paragraph" w:styleId="af">
    <w:name w:val="caption"/>
    <w:basedOn w:val="a"/>
    <w:next w:val="a"/>
    <w:uiPriority w:val="35"/>
    <w:unhideWhenUsed/>
    <w:qFormat/>
    <w:rsid w:val="00EB08A3"/>
    <w:pPr>
      <w:spacing w:line="240" w:lineRule="auto"/>
    </w:pPr>
    <w:rPr>
      <w:b/>
      <w:bCs/>
      <w:color w:val="4F81BD" w:themeColor="accent1"/>
      <w:sz w:val="18"/>
      <w:szCs w:val="18"/>
    </w:rPr>
  </w:style>
  <w:style w:type="paragraph" w:styleId="af0">
    <w:name w:val="footnote text"/>
    <w:basedOn w:val="a"/>
    <w:link w:val="af1"/>
    <w:uiPriority w:val="99"/>
    <w:semiHidden/>
    <w:unhideWhenUsed/>
    <w:rsid w:val="00751307"/>
    <w:pPr>
      <w:spacing w:after="0" w:line="240" w:lineRule="auto"/>
    </w:pPr>
    <w:rPr>
      <w:sz w:val="20"/>
      <w:szCs w:val="20"/>
    </w:rPr>
  </w:style>
  <w:style w:type="character" w:customStyle="1" w:styleId="af1">
    <w:name w:val="Текст сноски Знак"/>
    <w:basedOn w:val="a0"/>
    <w:link w:val="af0"/>
    <w:uiPriority w:val="99"/>
    <w:semiHidden/>
    <w:rsid w:val="00751307"/>
    <w:rPr>
      <w:sz w:val="20"/>
      <w:szCs w:val="20"/>
    </w:rPr>
  </w:style>
  <w:style w:type="character" w:styleId="af2">
    <w:name w:val="footnote reference"/>
    <w:basedOn w:val="a0"/>
    <w:uiPriority w:val="99"/>
    <w:semiHidden/>
    <w:unhideWhenUsed/>
    <w:rsid w:val="007513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Fra16</b:Tag>
    <b:SourceType>InternetSite</b:SourceType>
    <b:Guid>{145FC7B2-2C1C-4898-9B18-7A075E3D55FA}</b:Guid>
    <b:Title>Franklin Covey Annual Report 2006</b:Title>
    <b:InternetSiteTitle>CTU Online Campus</b:InternetSiteTitle>
    <b:Year>2016</b:Year>
    <b:URL>http://library.corporate-ir.net/library/10/102/102601/items/226394/2006_AnnualReport.pdf</b:URL>
    <b:RefOrder>10</b:RefOrder>
  </b:Source>
  <b:Source>
    <b:Tag>Sta162</b:Tag>
    <b:SourceType>InternetSite</b:SourceType>
    <b:Guid>{1A521F9F-8779-45AC-B6BB-646AB70BC52A}</b:Guid>
    <b:Title>Standard Register 2006 Annual Report</b:Title>
    <b:InternetSiteTitle>CTU Online Campus</b:InternetSiteTitle>
    <b:Year>2016</b:Year>
    <b:URL>http://media.corporate-ir.net/media_files/irol/95/95849/2006annualreport2.pdf</b:URL>
    <b:RefOrder>11</b:RefOrder>
  </b:Source>
  <b:Source>
    <b:Tag>Rat16</b:Tag>
    <b:SourceType>InternetSite</b:SourceType>
    <b:Guid>{BE3ACDFA-F52C-4B96-B808-16CAF483CD6D}</b:Guid>
    <b:Title>Ratios For Financial Analysis</b:Title>
    <b:InternetSiteTitle>MUSE CTU Online</b:InternetSiteTitle>
    <b:Year>2016</b:Year>
    <b:URL>https://class.ctuonline.edu/_layouts/MUSEViewer/Asset.aspx?MID=5543847&amp;aid=5543867</b:URL>
    <b:RefOrder>12</b:RefOrder>
  </b:Source>
  <b:Source>
    <b:Tag>Ann16</b:Tag>
    <b:SourceType>InternetSite</b:SourceType>
    <b:Guid>{FC40C942-C708-4D96-A52A-9764FDBD973D}</b:Guid>
    <b:Title>Annual Report</b:Title>
    <b:InternetSiteTitle>U.S. Securities and Exchange Commission</b:InternetSiteTitle>
    <b:Year>2016</b:Year>
    <b:URL>https://www.sec.gov/answers/annrep.htm</b:URL>
    <b:RefOrder>1</b:RefOrder>
  </b:Source>
  <b:Source>
    <b:Tag>Gib16</b:Tag>
    <b:SourceType>BookSection</b:SourceType>
    <b:Guid>{FE0A9DAE-B14A-4095-9204-D0D02F1BDAE4}</b:Guid>
    <b:Title>Basics of Analysis</b:Title>
    <b:Year>2016</b:Year>
    <b:Author>
      <b:BookAuthor>
        <b:NameList>
          <b:Person>
            <b:Last>Gibson</b:Last>
            <b:First>Charles</b:First>
          </b:Person>
        </b:NameList>
      </b:BookAuthor>
    </b:Author>
    <b:BookTitle>Financial Reporting and Analysis: Using Financial Accounting Information</b:BookTitle>
    <b:Pages>Chapter 5,  Edition 13</b:Pages>
    <b:Publisher>Cengage</b:Publisher>
    <b:RefOrder>13</b:RefOrder>
  </b:Source>
  <b:Source>
    <b:Tag>Wha169</b:Tag>
    <b:SourceType>InternetSite</b:SourceType>
    <b:Guid>{BAA43AD5-4584-4538-B1FD-23516A73B627}</b:Guid>
    <b:Title>What is the 'Current Ratio'</b:Title>
    <b:Year>2016</b:Year>
    <b:InternetSiteTitle>Investopedia</b:InternetSiteTitle>
    <b:URL>http://www.investopedia.com/terms/c/currentratio.asp</b:URL>
    <b:RefOrder>2</b:RefOrder>
  </b:Source>
  <b:Source>
    <b:Tag>Cur16</b:Tag>
    <b:SourceType>InternetSite</b:SourceType>
    <b:Guid>{CF19C76F-5540-4F2A-A169-6336257753C2}</b:Guid>
    <b:Title>Current Ratio</b:Title>
    <b:InternetSiteTitle>My Accounting Course</b:InternetSiteTitle>
    <b:Year>2016</b:Year>
    <b:URL>http://www.myaccountingcourse.com/financial-ratios/current-ratio</b:URL>
    <b:RefOrder>14</b:RefOrder>
  </b:Source>
  <b:Source>
    <b:Tag>Deb16</b:Tag>
    <b:SourceType>InternetSite</b:SourceType>
    <b:Guid>{3BD425E5-110C-4044-BDE2-608F931B876A}</b:Guid>
    <b:Title>Debt Ratio</b:Title>
    <b:InternetSiteTitle>My Accounting Course</b:InternetSiteTitle>
    <b:Year>2016</b:Year>
    <b:URL>http://www.myaccountingcourse.com/financial-ratios/debt-ratio</b:URL>
    <b:RefOrder>4</b:RefOrder>
  </b:Source>
  <b:Source>
    <b:Tag>Fin16</b:Tag>
    <b:SourceType>InternetSite</b:SourceType>
    <b:Guid>{EDD9AE30-6F3E-4FF4-B414-76F63294EDD6}</b:Guid>
    <b:Title>Financial Accounting Concepts &amp; Analysis</b:Title>
    <b:InternetSiteTitle>MUSE</b:InternetSiteTitle>
    <b:Year>2016</b:Year>
    <b:URL>https://class.ctuonline.edu/_layouts/MUSEViewer/Asset.aspx?MID=5543847&amp;aid=5543848</b:URL>
    <b:RefOrder>15</b:RefOrder>
  </b:Source>
  <b:Source>
    <b:Tag>Cur161</b:Tag>
    <b:SourceType>InternetSite</b:SourceType>
    <b:Guid>{9E0A4550-1BAE-4D83-9B33-A4AC3A7809AB}</b:Guid>
    <b:Title>Current Ratio</b:Title>
    <b:InternetSiteTitle>Accounting Explained</b:InternetSiteTitle>
    <b:Year>2016</b:Year>
    <b:URL>http://accountingexplained.com/financial/ratios/current-ratio</b:URL>
    <b:RefOrder>16</b:RefOrder>
  </b:Source>
  <b:Source>
    <b:Tag>Qui16</b:Tag>
    <b:SourceType>InternetSite</b:SourceType>
    <b:Guid>{DD4C667A-005C-423D-BFA6-39CD863108E2}</b:Guid>
    <b:Title>Quick Ratio</b:Title>
    <b:InternetSiteTitle>My Accounting Course</b:InternetSiteTitle>
    <b:Year>2016</b:Year>
    <b:URL>http://www.myaccountingcourse.com/financial-ratios/quick-ratio</b:URL>
    <b:RefOrder>3</b:RefOrder>
  </b:Source>
  <b:Source>
    <b:Tag>Deb161</b:Tag>
    <b:SourceType>InternetSite</b:SourceType>
    <b:Guid>{B81C17AF-1547-4D65-8D9E-C92A6CE749AC}</b:Guid>
    <b:Title>Debt-to-Equity Ratio</b:Title>
    <b:InternetSiteTitle>Accounting Explained</b:InternetSiteTitle>
    <b:Year>2016</b:Year>
    <b:URL>http://accountingexplained.com/financial/ratios/debt-to-equity</b:URL>
    <b:RefOrder>5</b:RefOrder>
  </b:Source>
  <b:Source>
    <b:Tag>Gro16</b:Tag>
    <b:SourceType>InternetSite</b:SourceType>
    <b:Guid>{5B1249C0-E123-485E-91C4-8335E03FDDD7}</b:Guid>
    <b:Title>Gross Margin Ratio</b:Title>
    <b:InternetSiteTitle>Accounting Explained</b:InternetSiteTitle>
    <b:Year>2016</b:Year>
    <b:URL>http://accountingexplained.com/financial/ratios/gross-margin</b:URL>
    <b:RefOrder>6</b:RefOrder>
  </b:Source>
  <b:Source>
    <b:Tag>Gro161</b:Tag>
    <b:SourceType>InternetSite</b:SourceType>
    <b:Guid>{5858A91C-6544-4408-B06D-750D8CA2164B}</b:Guid>
    <b:Title>Gross Margin Ratio</b:Title>
    <b:InternetSiteTitle>My Accounting Course</b:InternetSiteTitle>
    <b:Year>2016</b:Year>
    <b:URL>http://www.myaccountingcourse.com/financial-ratios/gross-margin-ratio</b:URL>
    <b:RefOrder>17</b:RefOrder>
  </b:Source>
  <b:Source>
    <b:Tag>Inv161</b:Tag>
    <b:SourceType>InternetSite</b:SourceType>
    <b:Guid>{3E700A52-4DEB-44A8-926B-6BC110789CB1}</b:Guid>
    <b:Title>Inventory Turnover Ratio</b:Title>
    <b:InternetSiteTitle>Accounting Explained</b:InternetSiteTitle>
    <b:Year>2016</b:Year>
    <b:URL>http://accountingexplained.com/financial/ratios/inventory-turnover</b:URL>
    <b:RefOrder>7</b:RefOrder>
  </b:Source>
  <b:Source>
    <b:Tag>Inv162</b:Tag>
    <b:SourceType>InternetSite</b:SourceType>
    <b:Guid>{6CB868D4-C1B5-4328-A62B-A4A7A5A1919D}</b:Guid>
    <b:Title>Inventory Turnover Formula / Stock Turnover Ratio</b:Title>
    <b:InternetSiteTitle>Accounting Tools</b:InternetSiteTitle>
    <b:Year>2016</b:Year>
    <b:URL>http://www.accountingtools.com/inventory-turnover-ratio</b:URL>
    <b:RefOrder>18</b:RefOrder>
  </b:Source>
  <b:Source>
    <b:Tag>Ret16</b:Tag>
    <b:SourceType>InternetSite</b:SourceType>
    <b:Guid>{4D9E35D9-15A3-4D4F-B6F5-D0BBAE94F92F}</b:Guid>
    <b:Title>Return on Assets Ratio - ROA</b:Title>
    <b:InternetSiteTitle>My Accounting Course</b:InternetSiteTitle>
    <b:Year>2016</b:Year>
    <b:URL>http://www.myaccountingcourse.com/financial-ratios/return-on-assets</b:URL>
    <b:RefOrder>8</b:RefOrder>
  </b:Source>
  <b:Source>
    <b:Tag>Ret161</b:Tag>
    <b:SourceType>InternetSite</b:SourceType>
    <b:Guid>{EDF3B5C4-C59D-4B7C-AAB0-D9FC614404EB}</b:Guid>
    <b:Title>Return On Equity (ROE) Ratio</b:Title>
    <b:InternetSiteTitle>Accounting Explained</b:InternetSiteTitle>
    <b:Year>2016</b:Year>
    <b:URL>http://accountingexplained.com/financial/ratios/return-on-equity</b:URL>
    <b:RefOrder>9</b:RefOrder>
  </b:Source>
</b:Sources>
</file>

<file path=customXml/itemProps1.xml><?xml version="1.0" encoding="utf-8"?>
<ds:datastoreItem xmlns:ds="http://schemas.openxmlformats.org/officeDocument/2006/customXml" ds:itemID="{E3E52BDB-E1A0-4F47-A8FD-B4EEF980F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16</Pages>
  <Words>2541</Words>
  <Characters>14487</Characters>
  <Application>Microsoft Office Word</Application>
  <DocSecurity>0</DocSecurity>
  <Lines>120</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c:creator>
  <cp:lastModifiedBy>QAD </cp:lastModifiedBy>
  <cp:revision>38</cp:revision>
  <dcterms:created xsi:type="dcterms:W3CDTF">2018-03-13T13:34:00Z</dcterms:created>
  <dcterms:modified xsi:type="dcterms:W3CDTF">2018-03-13T15:20:00Z</dcterms:modified>
</cp:coreProperties>
</file>